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rPr>
          <w:rFonts w:hint="eastAsia" w:ascii="方正小标宋简体" w:hAnsi="方正小标宋简体" w:eastAsia="方正小标宋简体" w:cs="方正小标宋简体"/>
          <w:b w:val="0"/>
          <w:bCs/>
          <w:color w:val="auto"/>
          <w:sz w:val="32"/>
          <w:szCs w:val="32"/>
          <w:highlight w:val="none"/>
        </w:rPr>
      </w:pPr>
      <w:r>
        <w:rPr>
          <w:rFonts w:hint="eastAsia" w:ascii="方正小标宋简体" w:hAnsi="方正小标宋简体" w:eastAsia="方正小标宋简体" w:cs="方正小标宋简体"/>
          <w:b w:val="0"/>
          <w:bCs/>
          <w:color w:val="auto"/>
          <w:sz w:val="32"/>
          <w:szCs w:val="32"/>
          <w:highlight w:val="none"/>
        </w:rPr>
        <w:t>附件1：</w:t>
      </w:r>
    </w:p>
    <w:p>
      <w:pPr>
        <w:spacing w:line="400" w:lineRule="atLeast"/>
        <w:ind w:firstLine="1280" w:firstLineChars="400"/>
        <w:rPr>
          <w:rFonts w:hint="eastAsia" w:ascii="方正小标宋简体" w:hAnsi="方正小标宋简体" w:eastAsia="方正小标宋简体" w:cs="方正小标宋简体"/>
          <w:color w:val="auto"/>
          <w:sz w:val="24"/>
          <w:highlight w:val="none"/>
          <w:lang w:eastAsia="zh-CN"/>
        </w:rPr>
      </w:pPr>
      <w:r>
        <w:rPr>
          <w:rFonts w:hint="eastAsia" w:ascii="方正小标宋简体" w:hAnsi="方正小标宋简体" w:eastAsia="方正小标宋简体" w:cs="方正小标宋简体"/>
          <w:b w:val="0"/>
          <w:bCs/>
          <w:color w:val="auto"/>
          <w:sz w:val="32"/>
          <w:szCs w:val="32"/>
          <w:highlight w:val="none"/>
        </w:rPr>
        <w:t>公路施工招标范本修改示例（合理低价法</w:t>
      </w:r>
      <w:r>
        <w:rPr>
          <w:rFonts w:hint="eastAsia" w:ascii="方正小标宋简体" w:hAnsi="方正小标宋简体" w:eastAsia="方正小标宋简体" w:cs="方正小标宋简体"/>
          <w:b w:val="0"/>
          <w:bCs/>
          <w:color w:val="auto"/>
          <w:sz w:val="32"/>
          <w:szCs w:val="32"/>
          <w:highlight w:val="none"/>
          <w:lang w:eastAsia="zh-CN"/>
        </w:rPr>
        <w:t>）</w:t>
      </w:r>
    </w:p>
    <w:p>
      <w:pPr>
        <w:spacing w:line="400" w:lineRule="atLeast"/>
        <w:ind w:firstLine="555"/>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说明：采用施工合理低价法电子招标投标（网上开标）时，建议招标人可以结合相关法律法规、中山市公共资源交易中心相关电子化招投标操作指南，进一步完善《广东省公路工程施工招标招标文件范本（</w:t>
      </w:r>
      <w:r>
        <w:rPr>
          <w:rFonts w:hint="eastAsia" w:ascii="仿宋_GB2312" w:hAnsi="仿宋_GB2312" w:eastAsia="仿宋_GB2312" w:cs="仿宋_GB2312"/>
          <w:color w:val="auto"/>
          <w:sz w:val="24"/>
          <w:highlight w:val="none"/>
          <w:lang w:val="en-US" w:eastAsia="zh-CN"/>
        </w:rPr>
        <w:t>2018年版</w:t>
      </w:r>
      <w:r>
        <w:rPr>
          <w:rFonts w:hint="eastAsia" w:ascii="仿宋_GB2312" w:hAnsi="仿宋_GB2312" w:eastAsia="仿宋_GB2312" w:cs="仿宋_GB2312"/>
          <w:color w:val="auto"/>
          <w:sz w:val="24"/>
          <w:highlight w:val="none"/>
          <w:lang w:eastAsia="zh-CN"/>
        </w:rPr>
        <w:t>）》相应条款，以下部分条款修改供招标人研究参考，以下内容针对《广东省公路工程施工招标招标文件范本（</w:t>
      </w:r>
      <w:r>
        <w:rPr>
          <w:rFonts w:hint="eastAsia" w:ascii="仿宋_GB2312" w:hAnsi="仿宋_GB2312" w:eastAsia="仿宋_GB2312" w:cs="仿宋_GB2312"/>
          <w:color w:val="auto"/>
          <w:sz w:val="24"/>
          <w:highlight w:val="none"/>
          <w:lang w:val="en-US" w:eastAsia="zh-CN"/>
        </w:rPr>
        <w:t>2018年版</w:t>
      </w:r>
      <w:r>
        <w:rPr>
          <w:rFonts w:hint="eastAsia" w:ascii="仿宋_GB2312" w:hAnsi="仿宋_GB2312" w:eastAsia="仿宋_GB2312" w:cs="仿宋_GB2312"/>
          <w:color w:val="auto"/>
          <w:sz w:val="24"/>
          <w:highlight w:val="none"/>
          <w:lang w:eastAsia="zh-CN"/>
        </w:rPr>
        <w:t>）》修改。</w:t>
      </w:r>
    </w:p>
    <w:p>
      <w:pPr>
        <w:pStyle w:val="5"/>
        <w:ind w:firstLine="241" w:firstLineChars="100"/>
        <w:rPr>
          <w:rFonts w:ascii="仿宋" w:hAnsi="仿宋" w:eastAsia="仿宋"/>
          <w:color w:val="auto"/>
          <w:sz w:val="24"/>
          <w:szCs w:val="24"/>
          <w:highlight w:val="none"/>
        </w:rPr>
      </w:pPr>
      <w:r>
        <w:rPr>
          <w:rFonts w:hint="eastAsia" w:ascii="仿宋" w:hAnsi="仿宋" w:eastAsia="仿宋"/>
          <w:color w:val="auto"/>
          <w:sz w:val="24"/>
          <w:szCs w:val="24"/>
          <w:highlight w:val="none"/>
        </w:rPr>
        <w:t>一、招标公告相应部分修改如下：</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4．招标文件的获取</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    招标人在网上发布招标公告时，同时在中山市公共资源交易网-工程建设项目交易业务系统(简称“电子交易平台”)发售招标文件等相关资料。凡符合条件且有意参加投标者，请于</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年</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日至</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年</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日招标文件发售期间，在中山市公共资源交易网（http://ggzyjy.zs.gov.cn）通过电子招投标数字证书登录“电子交易平台”下载完整的招标文件等相关资料。</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5．招标文件的递交及相关事宜</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   5.1 投标截止时间以工程建设项目交易业务系统上的议程安排为准，地点为“电子交易平台”。投标人应在投标截止时间前通过“电子交易平台”递交电子投标文件。</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5.2 逾期送达（上传）的或者未送达（上传）指定地点的投标文件将被拒绝。</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5.3本项</w:t>
      </w:r>
      <w:r>
        <w:rPr>
          <w:rFonts w:hint="eastAsia" w:ascii="仿宋" w:hAnsi="仿宋" w:eastAsia="仿宋" w:cs="宋体"/>
          <w:color w:val="auto"/>
          <w:sz w:val="24"/>
          <w:highlight w:val="none"/>
        </w:rPr>
        <w:t>目在中山市公共资源交易中心</w:t>
      </w:r>
      <w:r>
        <w:rPr>
          <w:rFonts w:hint="eastAsia" w:ascii="仿宋" w:hAnsi="仿宋" w:eastAsia="仿宋"/>
          <w:color w:val="auto"/>
          <w:sz w:val="24"/>
          <w:highlight w:val="none"/>
        </w:rPr>
        <w:t>现场组织网上开标，投标人无需抵达开标现场。投标人可登录中山市公共资源交易网（http://ggzyjy.zs.gov.cn)“工程建设项目交易业务系统”→“参与项目”→“网上开标”栏目查看项目开标过程，依法提出开标异议。</w:t>
      </w:r>
    </w:p>
    <w:p>
      <w:pPr>
        <w:spacing w:line="360" w:lineRule="auto"/>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5.4潜在投标人应当知悉,计算机辅助评标系统会自动检测以下内容：</w:t>
      </w:r>
    </w:p>
    <w:p>
      <w:pPr>
        <w:spacing w:line="360" w:lineRule="auto"/>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在第二信封开启后，计算机辅助评标系统对相应内容进行检查，清标事项如</w:t>
      </w:r>
      <w:r>
        <w:rPr>
          <w:rFonts w:hint="eastAsia" w:ascii="仿宋" w:hAnsi="仿宋" w:eastAsia="仿宋"/>
          <w:color w:val="auto"/>
          <w:sz w:val="24"/>
          <w:highlight w:val="none"/>
          <w:lang w:eastAsia="zh-CN"/>
        </w:rPr>
        <w:t>评标办法</w:t>
      </w:r>
      <w:r>
        <w:rPr>
          <w:rFonts w:hint="eastAsia" w:ascii="仿宋" w:hAnsi="仿宋" w:eastAsia="仿宋"/>
          <w:color w:val="auto"/>
          <w:sz w:val="24"/>
          <w:highlight w:val="none"/>
        </w:rPr>
        <w:t>表1所示，若计算机辅助评标系统检测出投标文件网卡地址、硬盘序列号、软件序列号等特征码存在与其他投标文件一致的情况，其投标将被否决，不得通过清标环节。若符合性检查项或一致性检查项与招标文件提供的清单不一致，由系统提醒评委，并由评委根据招标文件要求进行评审。若雷同性检查项目发现相关报价有特定规律，由系统提醒评委，由评标委员会判断是否涉及围标串标。</w:t>
      </w:r>
    </w:p>
    <w:p>
      <w:pPr>
        <w:pStyle w:val="5"/>
        <w:ind w:firstLine="482" w:firstLineChars="20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二、投标人须知相应部分修改如下：</w:t>
      </w:r>
    </w:p>
    <w:p>
      <w:pPr>
        <w:spacing w:line="400" w:lineRule="atLeast"/>
        <w:rPr>
          <w:rFonts w:hint="eastAsia" w:ascii="仿宋_GB2312" w:hAnsi="仿宋_GB2312" w:eastAsia="仿宋_GB2312" w:cs="仿宋_GB2312"/>
          <w:b/>
          <w:bCs/>
          <w:color w:val="auto"/>
          <w:sz w:val="24"/>
          <w:highlight w:val="none"/>
          <w:lang w:eastAsia="zh-CN"/>
        </w:rPr>
      </w:pPr>
      <w:r>
        <w:rPr>
          <w:rFonts w:hint="eastAsia" w:ascii="仿宋_GB2312" w:hAnsi="仿宋_GB2312" w:eastAsia="仿宋_GB2312" w:cs="仿宋_GB2312"/>
          <w:b/>
          <w:bCs/>
          <w:color w:val="auto"/>
          <w:sz w:val="24"/>
          <w:highlight w:val="none"/>
          <w:lang w:eastAsia="zh-CN"/>
        </w:rPr>
        <w:t>投标人须知前附表部分条款修改为：</w:t>
      </w:r>
    </w:p>
    <w:p>
      <w:pPr>
        <w:spacing w:line="400" w:lineRule="atLeast"/>
        <w:rPr>
          <w:rFonts w:hint="eastAsia" w:ascii="宋体" w:hAnsi="宋体"/>
          <w:b/>
          <w:bCs/>
          <w:color w:val="auto"/>
          <w:sz w:val="24"/>
          <w:highlight w:val="none"/>
          <w:lang w:eastAsia="zh-CN"/>
        </w:rPr>
      </w:pPr>
    </w:p>
    <w:tbl>
      <w:tblPr>
        <w:tblStyle w:val="10"/>
        <w:tblW w:w="9553"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3060"/>
        <w:gridCol w:w="54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634" w:hRule="atLeast"/>
        </w:trPr>
        <w:tc>
          <w:tcPr>
            <w:tcW w:w="1080" w:type="dxa"/>
            <w:vAlign w:val="center"/>
          </w:tcPr>
          <w:p>
            <w:pPr>
              <w:jc w:val="center"/>
              <w:rPr>
                <w:rFonts w:hint="eastAsia" w:ascii="仿宋" w:hAnsi="仿宋" w:eastAsia="宋体" w:cs="宋体"/>
                <w:color w:val="auto"/>
                <w:sz w:val="24"/>
                <w:highlight w:val="none"/>
                <w:lang w:eastAsia="zh-CN"/>
              </w:rPr>
            </w:pPr>
            <w:r>
              <w:rPr>
                <w:rFonts w:hint="eastAsia" w:ascii="宋体" w:hAnsi="宋体"/>
                <w:color w:val="auto"/>
                <w:szCs w:val="21"/>
                <w:highlight w:val="none"/>
              </w:rPr>
              <w:t>3.2.</w:t>
            </w:r>
            <w:r>
              <w:rPr>
                <w:rFonts w:hint="eastAsia" w:ascii="宋体" w:hAnsi="宋体"/>
                <w:color w:val="auto"/>
                <w:szCs w:val="21"/>
                <w:highlight w:val="none"/>
                <w:lang w:val="en-US" w:eastAsia="zh-CN"/>
              </w:rPr>
              <w:t>1</w:t>
            </w:r>
          </w:p>
        </w:tc>
        <w:tc>
          <w:tcPr>
            <w:tcW w:w="3060" w:type="dxa"/>
            <w:vAlign w:val="center"/>
          </w:tcPr>
          <w:p>
            <w:pPr>
              <w:widowControl/>
              <w:tabs>
                <w:tab w:val="left" w:pos="12596"/>
              </w:tabs>
              <w:spacing w:line="360" w:lineRule="auto"/>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工程量清单的填写方式</w:t>
            </w:r>
          </w:p>
        </w:tc>
        <w:tc>
          <w:tcPr>
            <w:tcW w:w="5413" w:type="dxa"/>
            <w:vAlign w:val="center"/>
          </w:tcPr>
          <w:p>
            <w:pPr>
              <w:widowControl/>
              <w:tabs>
                <w:tab w:val="left" w:pos="12596"/>
              </w:tabs>
              <w:spacing w:line="360" w:lineRule="auto"/>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w:t>
            </w:r>
            <w:r>
              <w:rPr>
                <w:rFonts w:hint="eastAsia" w:ascii="仿宋" w:hAnsi="仿宋" w:eastAsia="仿宋" w:cs="宋体"/>
                <w:color w:val="auto"/>
                <w:kern w:val="0"/>
                <w:sz w:val="24"/>
                <w:highlight w:val="none"/>
                <w:lang w:val="zh-CN"/>
              </w:rPr>
              <w:t>招标人提供招标工程量清单电子文件（XML格式），视为招标人提供的固化工程量清单。投标人根据招标工程量清单xml文件导入造价软件，并填写形成已标价工程清单表电子文件（xml格式），计算机辅助评标系统将对其进行</w:t>
            </w:r>
            <w:r>
              <w:rPr>
                <w:rFonts w:hint="eastAsia" w:ascii="仿宋" w:hAnsi="仿宋" w:eastAsia="仿宋" w:cs="宋体"/>
                <w:color w:val="auto"/>
                <w:kern w:val="0"/>
                <w:sz w:val="24"/>
                <w:highlight w:val="none"/>
              </w:rPr>
              <w:t>特征码、</w:t>
            </w:r>
            <w:r>
              <w:rPr>
                <w:rFonts w:hint="eastAsia" w:ascii="仿宋" w:hAnsi="仿宋" w:eastAsia="仿宋" w:cs="宋体"/>
                <w:color w:val="auto"/>
                <w:kern w:val="0"/>
                <w:sz w:val="24"/>
                <w:highlight w:val="none"/>
                <w:lang w:val="zh-CN"/>
              </w:rPr>
              <w:t>符合性、一致性、雷同性检测。本招标文件的工程量固化清单相关条款适用于本项目。招标人提供固化清单的形式：在</w:t>
            </w:r>
            <w:r>
              <w:rPr>
                <w:rFonts w:hint="eastAsia" w:ascii="仿宋" w:hAnsi="仿宋" w:eastAsia="仿宋" w:cs="宋体"/>
                <w:color w:val="auto"/>
                <w:kern w:val="0"/>
                <w:sz w:val="24"/>
                <w:highlight w:val="none"/>
              </w:rPr>
              <w:t>中山市公共资源交易网（http://ggzyjy.zs.gov.cn）</w:t>
            </w:r>
            <w:r>
              <w:rPr>
                <w:rFonts w:hint="eastAsia" w:ascii="仿宋" w:hAnsi="仿宋" w:eastAsia="仿宋" w:cs="宋体"/>
                <w:color w:val="auto"/>
                <w:kern w:val="0"/>
                <w:sz w:val="24"/>
                <w:highlight w:val="none"/>
                <w:lang w:val="zh-CN"/>
              </w:rPr>
              <w:t>发布。</w:t>
            </w:r>
            <w:r>
              <w:rPr>
                <w:rFonts w:hint="eastAsia" w:ascii="仿宋" w:hAnsi="仿宋" w:eastAsia="仿宋" w:cs="宋体"/>
                <w:color w:val="auto"/>
                <w:kern w:val="0"/>
                <w:sz w:val="24"/>
                <w:highlight w:val="none"/>
              </w:rPr>
              <w:t xml:space="preserve">           </w:t>
            </w:r>
          </w:p>
          <w:p>
            <w:pPr>
              <w:widowControl/>
              <w:tabs>
                <w:tab w:val="left" w:pos="12596"/>
              </w:tabs>
              <w:spacing w:line="360" w:lineRule="auto"/>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lang w:val="zh-CN"/>
              </w:rPr>
              <w:t>□投标人按照招标人提供的书面工程量清单填写工程量清单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634" w:hRule="atLeast"/>
        </w:trPr>
        <w:tc>
          <w:tcPr>
            <w:tcW w:w="108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3.4.1</w:t>
            </w:r>
          </w:p>
        </w:tc>
        <w:tc>
          <w:tcPr>
            <w:tcW w:w="306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投标保证金</w:t>
            </w:r>
          </w:p>
        </w:tc>
        <w:tc>
          <w:tcPr>
            <w:tcW w:w="5413" w:type="dxa"/>
            <w:vAlign w:val="center"/>
          </w:tcPr>
          <w:p>
            <w:pPr>
              <w:spacing w:line="360" w:lineRule="exac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金额：</w:t>
            </w:r>
            <w:r>
              <w:rPr>
                <w:rFonts w:hint="eastAsia" w:ascii="仿宋_GB2312" w:hAnsi="仿宋_GB2312" w:eastAsia="仿宋_GB2312" w:cs="仿宋_GB2312"/>
                <w:b/>
                <w:bCs/>
                <w:color w:val="auto"/>
                <w:sz w:val="24"/>
                <w:highlight w:val="none"/>
                <w:u w:val="single"/>
              </w:rPr>
              <w:t xml:space="preserve">      </w:t>
            </w:r>
            <w:r>
              <w:rPr>
                <w:rFonts w:hint="eastAsia" w:ascii="仿宋_GB2312" w:hAnsi="仿宋_GB2312" w:eastAsia="仿宋_GB2312" w:cs="仿宋_GB2312"/>
                <w:bCs/>
                <w:color w:val="auto"/>
                <w:sz w:val="24"/>
                <w:highlight w:val="none"/>
                <w:u w:val="single"/>
              </w:rPr>
              <w:t xml:space="preserve"> </w:t>
            </w:r>
            <w:r>
              <w:rPr>
                <w:rFonts w:hint="eastAsia" w:ascii="仿宋_GB2312" w:hAnsi="仿宋_GB2312" w:eastAsia="仿宋_GB2312" w:cs="仿宋_GB2312"/>
                <w:bCs/>
                <w:color w:val="auto"/>
                <w:sz w:val="24"/>
                <w:highlight w:val="none"/>
              </w:rPr>
              <w:t xml:space="preserve">      </w:t>
            </w:r>
          </w:p>
          <w:p>
            <w:pPr>
              <w:widowControl/>
              <w:tabs>
                <w:tab w:val="left" w:pos="12596"/>
              </w:tabs>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投标保证金的形式：电子保函 或 银行转账（不接受现金交纳）。</w:t>
            </w:r>
          </w:p>
          <w:p>
            <w:pPr>
              <w:widowControl/>
              <w:tabs>
                <w:tab w:val="left" w:pos="12596"/>
              </w:tabs>
              <w:spacing w:line="360" w:lineRule="auto"/>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提交截止时间：</w:t>
            </w:r>
            <w:r>
              <w:rPr>
                <w:rFonts w:hint="eastAsia" w:ascii="仿宋_GB2312" w:hAnsi="仿宋_GB2312" w:eastAsia="仿宋_GB2312" w:cs="仿宋_GB2312"/>
                <w:color w:val="auto"/>
                <w:kern w:val="0"/>
                <w:sz w:val="24"/>
                <w:highlight w:val="none"/>
              </w:rPr>
              <w:t>具体时间以工程建设项目交易业务系统上的议程安排为准。</w:t>
            </w:r>
            <w:r>
              <w:rPr>
                <w:rFonts w:hint="eastAsia" w:ascii="仿宋_GB2312" w:hAnsi="仿宋_GB2312" w:eastAsia="仿宋_GB2312" w:cs="仿宋_GB2312"/>
                <w:color w:val="auto"/>
                <w:kern w:val="0"/>
                <w:sz w:val="24"/>
                <w:highlight w:val="none"/>
              </w:rPr>
              <w:br w:type="textWrapping"/>
            </w:r>
            <w:r>
              <w:rPr>
                <w:rFonts w:hint="eastAsia" w:ascii="仿宋_GB2312" w:hAnsi="仿宋_GB2312" w:eastAsia="仿宋_GB2312" w:cs="仿宋_GB2312"/>
                <w:color w:val="auto"/>
                <w:kern w:val="0"/>
                <w:sz w:val="24"/>
                <w:highlight w:val="none"/>
              </w:rPr>
              <w:t xml:space="preserve">    投标人</w:t>
            </w:r>
            <w:r>
              <w:rPr>
                <w:rFonts w:hint="eastAsia" w:ascii="仿宋_GB2312" w:hAnsi="仿宋_GB2312" w:eastAsia="仿宋_GB2312" w:cs="仿宋_GB2312"/>
                <w:bCs/>
                <w:color w:val="auto"/>
                <w:sz w:val="24"/>
                <w:highlight w:val="none"/>
              </w:rPr>
              <w:t>应在</w:t>
            </w:r>
            <w:r>
              <w:rPr>
                <w:rFonts w:hint="eastAsia" w:ascii="仿宋_GB2312" w:hAnsi="仿宋_GB2312" w:eastAsia="仿宋_GB2312" w:cs="仿宋_GB2312"/>
                <w:color w:val="auto"/>
                <w:sz w:val="24"/>
                <w:highlight w:val="none"/>
              </w:rPr>
              <w:t>招标文件发售期间</w:t>
            </w:r>
            <w:r>
              <w:rPr>
                <w:rFonts w:hint="eastAsia" w:ascii="仿宋_GB2312" w:hAnsi="仿宋_GB2312" w:eastAsia="仿宋_GB2312" w:cs="仿宋_GB2312"/>
                <w:bCs/>
                <w:color w:val="auto"/>
                <w:sz w:val="24"/>
                <w:highlight w:val="none"/>
              </w:rPr>
              <w:t>通过工程建设项目交易业务系统下载招标文件及相关文件,在</w:t>
            </w:r>
            <w:r>
              <w:rPr>
                <w:rFonts w:hint="eastAsia" w:ascii="仿宋_GB2312" w:hAnsi="仿宋_GB2312" w:eastAsia="仿宋_GB2312" w:cs="仿宋_GB2312"/>
                <w:color w:val="auto"/>
                <w:sz w:val="24"/>
                <w:highlight w:val="none"/>
              </w:rPr>
              <w:t>保证金提交截止时间前提交</w:t>
            </w:r>
            <w:r>
              <w:rPr>
                <w:rFonts w:hint="eastAsia" w:ascii="仿宋_GB2312" w:hAnsi="仿宋_GB2312" w:eastAsia="仿宋_GB2312" w:cs="仿宋_GB2312"/>
                <w:color w:val="auto"/>
                <w:kern w:val="0"/>
                <w:sz w:val="24"/>
                <w:highlight w:val="none"/>
              </w:rPr>
              <w:t>投标保证金，未按时提交投标保证金的，其投标不予受理。投标人在提交投标保证金后应及时查询投标保证金到账或电子保函的出具情况。如有问题请及早向市公共资源交易中心及有关金融机构查询解决。投标保证金以开标系统显示的记录为准。</w:t>
            </w:r>
            <w:r>
              <w:rPr>
                <w:rFonts w:hint="eastAsia" w:ascii="仿宋_GB2312" w:hAnsi="仿宋_GB2312" w:eastAsia="仿宋_GB2312" w:cs="仿宋_GB2312"/>
                <w:color w:val="auto"/>
                <w:kern w:val="0"/>
                <w:sz w:val="24"/>
                <w:highlight w:val="none"/>
              </w:rPr>
              <w:br w:type="textWrapping"/>
            </w:r>
            <w:r>
              <w:rPr>
                <w:rFonts w:hint="eastAsia" w:ascii="仿宋_GB2312" w:hAnsi="仿宋_GB2312" w:eastAsia="仿宋_GB2312" w:cs="仿宋_GB2312"/>
                <w:color w:val="auto"/>
                <w:kern w:val="0"/>
                <w:sz w:val="24"/>
                <w:highlight w:val="none"/>
              </w:rPr>
              <w:t xml:space="preserve">    银行转账的投标保证金必须通过投标人已在中山市公共资源交易中心企业信息库中登记的基本账户（基本账户的企业名称须与投标人名称一致）转入相关账户(详见“缴纳投标保证金通知书”)： 投标人凭电子招投标数字证书登入工程建设项目交易业务系统，在“投标管理--参与项目”栏目页面，选择参与投标的项目获取保证金提交子账号，并严格按照“缴纳投标保证金通知书”的要求足额提交投标保证金。</w:t>
            </w:r>
            <w:r>
              <w:rPr>
                <w:rFonts w:hint="eastAsia" w:ascii="仿宋_GB2312" w:hAnsi="仿宋_GB2312" w:eastAsia="仿宋_GB2312" w:cs="仿宋_GB2312"/>
                <w:color w:val="auto"/>
                <w:kern w:val="0"/>
                <w:sz w:val="24"/>
                <w:highlight w:val="none"/>
              </w:rPr>
              <w:br w:type="textWrapping"/>
            </w:r>
            <w:r>
              <w:rPr>
                <w:rFonts w:hint="eastAsia" w:ascii="仿宋_GB2312" w:hAnsi="仿宋_GB2312" w:eastAsia="仿宋_GB2312" w:cs="仿宋_GB2312"/>
                <w:color w:val="auto"/>
                <w:kern w:val="0"/>
                <w:sz w:val="24"/>
                <w:highlight w:val="none"/>
              </w:rPr>
              <w:t xml:space="preserve">    以电子保函方式提交投标保证金的，投标人凭电子招投标数字证书登入工程建设项目交易业务系统，在“投标管理--参与项目”栏目页面，选择参与投标的项目，选择相关金融机构办理电子保函。电子保函的出具时间视同于保证金提交时间。电子保函有效期限到期后自动失效，若在有效期间内办理注销的，则在注销之日起失效。电子保函办理的申请流程及操作指引详见中山市公共资源交易中心门户网站的“服务指南—资料下载”-《电子保函操作手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atLeast"/>
        </w:trPr>
        <w:tc>
          <w:tcPr>
            <w:tcW w:w="108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3.7.4</w:t>
            </w:r>
          </w:p>
        </w:tc>
        <w:tc>
          <w:tcPr>
            <w:tcW w:w="306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投标文件份数</w:t>
            </w:r>
          </w:p>
        </w:tc>
        <w:tc>
          <w:tcPr>
            <w:tcW w:w="5413" w:type="dxa"/>
            <w:vAlign w:val="center"/>
          </w:tcPr>
          <w:p>
            <w:pPr>
              <w:spacing w:line="3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以电子文件形式通过“中山市公共资源交易网工程建设项目交易业务系统”网上递交下列文件：</w:t>
            </w:r>
          </w:p>
          <w:p>
            <w:pPr>
              <w:spacing w:line="32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1、商务和技术文件1份（pdf</w:t>
            </w:r>
            <w:r>
              <w:rPr>
                <w:rFonts w:hint="eastAsia" w:ascii="仿宋_GB2312" w:hAnsi="仿宋_GB2312" w:eastAsia="仿宋_GB2312" w:cs="仿宋_GB2312"/>
                <w:color w:val="auto"/>
                <w:sz w:val="24"/>
                <w:szCs w:val="24"/>
                <w:highlight w:val="none"/>
                <w:lang w:eastAsia="zh-CN"/>
              </w:rPr>
              <w:t>格式</w:t>
            </w:r>
            <w:r>
              <w:rPr>
                <w:rFonts w:hint="eastAsia" w:ascii="仿宋_GB2312" w:hAnsi="仿宋_GB2312" w:eastAsia="仿宋_GB2312" w:cs="仿宋_GB2312"/>
                <w:color w:val="auto"/>
                <w:sz w:val="24"/>
                <w:szCs w:val="24"/>
                <w:highlight w:val="none"/>
              </w:rPr>
              <w:t>）</w:t>
            </w:r>
          </w:p>
          <w:p>
            <w:pPr>
              <w:spacing w:line="32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2、报价文件</w:t>
            </w:r>
            <w:r>
              <w:rPr>
                <w:rFonts w:hint="eastAsia" w:ascii="仿宋_GB2312" w:hAnsi="仿宋_GB2312" w:eastAsia="仿宋_GB2312" w:cs="仿宋_GB2312"/>
                <w:color w:val="auto"/>
                <w:sz w:val="24"/>
                <w:szCs w:val="24"/>
                <w:highlight w:val="none"/>
                <w:lang w:val="en-US" w:eastAsia="zh-CN"/>
              </w:rPr>
              <w:t>（除已报价的工程量清单表）</w:t>
            </w:r>
            <w:r>
              <w:rPr>
                <w:rFonts w:hint="eastAsia" w:ascii="仿宋_GB2312" w:hAnsi="仿宋_GB2312" w:eastAsia="仿宋_GB2312" w:cs="仿宋_GB2312"/>
                <w:color w:val="auto"/>
                <w:sz w:val="24"/>
                <w:szCs w:val="24"/>
                <w:highlight w:val="none"/>
              </w:rPr>
              <w:t>1份（pdf</w:t>
            </w:r>
            <w:r>
              <w:rPr>
                <w:rFonts w:hint="eastAsia" w:ascii="仿宋_GB2312" w:hAnsi="仿宋_GB2312" w:eastAsia="仿宋_GB2312" w:cs="仿宋_GB2312"/>
                <w:color w:val="auto"/>
                <w:sz w:val="24"/>
                <w:szCs w:val="24"/>
                <w:highlight w:val="none"/>
                <w:lang w:eastAsia="zh-CN"/>
              </w:rPr>
              <w:t>格式</w:t>
            </w:r>
            <w:r>
              <w:rPr>
                <w:rFonts w:hint="eastAsia" w:ascii="仿宋_GB2312" w:hAnsi="仿宋_GB2312" w:eastAsia="仿宋_GB2312" w:cs="仿宋_GB2312"/>
                <w:color w:val="auto"/>
                <w:sz w:val="24"/>
                <w:szCs w:val="24"/>
                <w:highlight w:val="none"/>
              </w:rPr>
              <w:t>）</w:t>
            </w:r>
          </w:p>
          <w:p>
            <w:pPr>
              <w:pStyle w:val="2"/>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3、已报价的工程量清单表1份（xml格式）</w:t>
            </w:r>
          </w:p>
          <w:p>
            <w:pPr>
              <w:spacing w:line="3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投标人在投标截止时间前自行向“电子交易平台”上传。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atLeast"/>
        </w:trPr>
        <w:tc>
          <w:tcPr>
            <w:tcW w:w="108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3.7.5</w:t>
            </w:r>
          </w:p>
        </w:tc>
        <w:tc>
          <w:tcPr>
            <w:tcW w:w="306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装订要求</w:t>
            </w:r>
          </w:p>
        </w:tc>
        <w:tc>
          <w:tcPr>
            <w:tcW w:w="5413" w:type="dxa"/>
            <w:vAlign w:val="center"/>
          </w:tcPr>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修改为：全部投标文件均应制作成PDF电子文件,文件大小应满足“电子交易平台”的要求。投标文件中需要盖章的，应按招标文件要求加盖公章后扫描成电子文档或采用单位数字证书在相应位置加盖电子印章。投标文件中需个人签字的，应按招标文件要求手签后扫描成电子文档。相关操作手册请自行登录“中山市公共资源交易网-办事指南”栏目下载查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trPr>
        <w:tc>
          <w:tcPr>
            <w:tcW w:w="108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4.1.2</w:t>
            </w:r>
          </w:p>
        </w:tc>
        <w:tc>
          <w:tcPr>
            <w:tcW w:w="306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封套上应载明的信息</w:t>
            </w:r>
          </w:p>
        </w:tc>
        <w:tc>
          <w:tcPr>
            <w:tcW w:w="5413" w:type="dxa"/>
            <w:vAlign w:val="center"/>
          </w:tcPr>
          <w:p>
            <w:pPr>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（此款不适用）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4" w:hRule="atLeast"/>
        </w:trPr>
        <w:tc>
          <w:tcPr>
            <w:tcW w:w="1080" w:type="dxa"/>
            <w:vAlign w:val="center"/>
          </w:tcPr>
          <w:p>
            <w:pPr>
              <w:jc w:val="center"/>
              <w:rPr>
                <w:rFonts w:hint="eastAsia" w:ascii="仿宋_GB2312" w:hAnsi="仿宋_GB2312" w:eastAsia="仿宋_GB2312" w:cs="仿宋_GB2312"/>
                <w:color w:val="auto"/>
                <w:sz w:val="24"/>
                <w:highlight w:val="none"/>
              </w:rPr>
            </w:pPr>
            <w:r>
              <w:rPr>
                <w:rStyle w:val="13"/>
                <w:rFonts w:hint="eastAsia" w:ascii="仿宋_GB2312" w:hAnsi="仿宋_GB2312" w:eastAsia="仿宋_GB2312" w:cs="仿宋_GB2312"/>
                <w:color w:val="auto"/>
                <w:sz w:val="21"/>
                <w:szCs w:val="21"/>
                <w:highlight w:val="none"/>
              </w:rPr>
              <w:t>4.2.3</w:t>
            </w:r>
          </w:p>
        </w:tc>
        <w:tc>
          <w:tcPr>
            <w:tcW w:w="3060" w:type="dxa"/>
            <w:vAlign w:val="center"/>
          </w:tcPr>
          <w:p>
            <w:pPr>
              <w:jc w:val="center"/>
              <w:rPr>
                <w:rFonts w:hint="eastAsia" w:ascii="仿宋_GB2312" w:hAnsi="仿宋_GB2312" w:eastAsia="仿宋_GB2312" w:cs="仿宋_GB2312"/>
                <w:color w:val="auto"/>
                <w:sz w:val="24"/>
                <w:highlight w:val="none"/>
              </w:rPr>
            </w:pPr>
            <w:r>
              <w:rPr>
                <w:rStyle w:val="14"/>
                <w:rFonts w:hint="eastAsia" w:ascii="仿宋_GB2312" w:hAnsi="仿宋_GB2312" w:eastAsia="仿宋_GB2312" w:cs="仿宋_GB2312"/>
                <w:color w:val="auto"/>
                <w:sz w:val="21"/>
                <w:szCs w:val="21"/>
                <w:highlight w:val="none"/>
                <w:lang w:val="zh-CN" w:eastAsia="zh-CN"/>
              </w:rPr>
              <w:t>是否退还投标文件</w:t>
            </w:r>
          </w:p>
        </w:tc>
        <w:tc>
          <w:tcPr>
            <w:tcW w:w="5413" w:type="dxa"/>
            <w:vAlign w:val="center"/>
          </w:tcPr>
          <w:p>
            <w:pPr>
              <w:pStyle w:val="12"/>
              <w:shd w:val="clear" w:color="auto" w:fill="auto"/>
              <w:spacing w:before="0" w:line="240" w:lineRule="auto"/>
              <w:jc w:val="both"/>
              <w:rPr>
                <w:rStyle w:val="14"/>
                <w:rFonts w:hint="eastAsia" w:ascii="仿宋_GB2312" w:hAnsi="仿宋_GB2312" w:eastAsia="仿宋_GB2312" w:cs="仿宋_GB2312"/>
                <w:color w:val="auto"/>
                <w:sz w:val="21"/>
                <w:szCs w:val="21"/>
                <w:highlight w:val="none"/>
                <w:lang w:val="en-US" w:eastAsia="zh-CN"/>
              </w:rPr>
            </w:pPr>
            <w:r>
              <w:rPr>
                <w:rStyle w:val="14"/>
                <w:rFonts w:hint="eastAsia" w:ascii="仿宋_GB2312" w:hAnsi="仿宋_GB2312" w:eastAsia="仿宋_GB2312" w:cs="仿宋_GB2312"/>
                <w:color w:val="auto"/>
                <w:sz w:val="21"/>
                <w:szCs w:val="21"/>
                <w:highlight w:val="none"/>
                <w:lang w:val="zh-CN" w:eastAsia="zh-CN"/>
              </w:rPr>
              <w:sym w:font="Wingdings 2" w:char="0052"/>
            </w:r>
            <w:r>
              <w:rPr>
                <w:rStyle w:val="14"/>
                <w:rFonts w:hint="eastAsia" w:ascii="仿宋_GB2312" w:hAnsi="仿宋_GB2312" w:eastAsia="仿宋_GB2312" w:cs="仿宋_GB2312"/>
                <w:color w:val="auto"/>
                <w:sz w:val="21"/>
                <w:szCs w:val="21"/>
                <w:highlight w:val="none"/>
                <w:lang w:val="zh-CN" w:eastAsia="zh-CN"/>
              </w:rPr>
              <w:t>否</w:t>
            </w:r>
          </w:p>
          <w:p>
            <w:pPr>
              <w:rPr>
                <w:rFonts w:hint="eastAsia" w:ascii="仿宋_GB2312" w:hAnsi="仿宋_GB2312" w:eastAsia="仿宋_GB2312" w:cs="仿宋_GB2312"/>
                <w:color w:val="auto"/>
                <w:sz w:val="24"/>
                <w:highlight w:val="none"/>
              </w:rPr>
            </w:pPr>
            <w:r>
              <w:rPr>
                <w:rStyle w:val="14"/>
                <w:rFonts w:hint="eastAsia" w:ascii="仿宋_GB2312" w:hAnsi="仿宋_GB2312" w:eastAsia="仿宋_GB2312" w:cs="仿宋_GB2312"/>
                <w:color w:val="auto"/>
                <w:sz w:val="21"/>
                <w:szCs w:val="21"/>
                <w:highlight w:val="none"/>
                <w:lang w:val="zh-CN" w:eastAsia="zh-CN"/>
              </w:rPr>
              <w:t>□是，退还时间：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4" w:hRule="atLeast"/>
        </w:trPr>
        <w:tc>
          <w:tcPr>
            <w:tcW w:w="108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5.1</w:t>
            </w:r>
          </w:p>
        </w:tc>
        <w:tc>
          <w:tcPr>
            <w:tcW w:w="306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开标时间和地点</w:t>
            </w:r>
          </w:p>
        </w:tc>
        <w:tc>
          <w:tcPr>
            <w:tcW w:w="5413" w:type="dxa"/>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开标时间：具体时间以工程建设项目交易业务系统上的议程安排为准。</w:t>
            </w:r>
          </w:p>
          <w:p>
            <w:pP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开标地点:中山市公共资源交易中心（博爱六路22号）</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本项目在中山市公共资源交易中心现场组织网上开标，投标人无需抵达开标现场。投标人可登录中山市公共资源交易网（http://ggzyjy.zs.gov.cn)“工程建设项目交易业务系统”→“参与项目”→“网上开标”栏目查看项目开标过程，依法提出开标异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9" w:hRule="atLeast"/>
        </w:trPr>
        <w:tc>
          <w:tcPr>
            <w:tcW w:w="1080" w:type="dxa"/>
            <w:vAlign w:val="center"/>
          </w:tcPr>
          <w:p>
            <w:pPr>
              <w:spacing w:line="400" w:lineRule="atLeast"/>
              <w:ind w:firstLine="0" w:firstLineChar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szCs w:val="24"/>
                <w:highlight w:val="none"/>
              </w:rPr>
              <w:t>5.2.1</w:t>
            </w:r>
          </w:p>
        </w:tc>
        <w:tc>
          <w:tcPr>
            <w:tcW w:w="3060" w:type="dxa"/>
            <w:vAlign w:val="center"/>
          </w:tcPr>
          <w:p>
            <w:pPr>
              <w:spacing w:line="400" w:lineRule="atLeast"/>
              <w:ind w:firstLine="0" w:firstLineChar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szCs w:val="24"/>
                <w:highlight w:val="none"/>
              </w:rPr>
              <w:t>第一个信封（商务及技术文件）开标程序</w:t>
            </w:r>
          </w:p>
        </w:tc>
        <w:tc>
          <w:tcPr>
            <w:tcW w:w="5413" w:type="dxa"/>
            <w:vAlign w:val="center"/>
          </w:tcPr>
          <w:p>
            <w:pPr>
              <w:spacing w:line="400" w:lineRule="atLeast"/>
              <w:ind w:firstLine="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szCs w:val="24"/>
                <w:highlight w:val="none"/>
                <w:lang w:eastAsia="zh-CN"/>
              </w:rPr>
              <w:t>招标人删除该行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9" w:hRule="atLeast"/>
        </w:trPr>
        <w:tc>
          <w:tcPr>
            <w:tcW w:w="1080" w:type="dxa"/>
            <w:vAlign w:val="center"/>
          </w:tcPr>
          <w:p>
            <w:pPr>
              <w:spacing w:line="400" w:lineRule="atLeast"/>
              <w:ind w:firstLine="0" w:firstLineChar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szCs w:val="24"/>
                <w:highlight w:val="none"/>
              </w:rPr>
              <w:t>5.2.3</w:t>
            </w:r>
          </w:p>
        </w:tc>
        <w:tc>
          <w:tcPr>
            <w:tcW w:w="3060" w:type="dxa"/>
            <w:vAlign w:val="center"/>
          </w:tcPr>
          <w:p>
            <w:pPr>
              <w:spacing w:line="400" w:lineRule="atLeast"/>
              <w:ind w:firstLine="0" w:firstLineChar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szCs w:val="24"/>
                <w:highlight w:val="none"/>
              </w:rPr>
              <w:t>第二个信封（报价文件）开标程序</w:t>
            </w:r>
          </w:p>
        </w:tc>
        <w:tc>
          <w:tcPr>
            <w:tcW w:w="5413" w:type="dxa"/>
            <w:vAlign w:val="center"/>
          </w:tcPr>
          <w:p>
            <w:pPr>
              <w:spacing w:line="400" w:lineRule="atLeast"/>
              <w:ind w:firstLine="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szCs w:val="24"/>
                <w:highlight w:val="none"/>
                <w:lang w:eastAsia="zh-CN"/>
              </w:rPr>
              <w:t>招标人删除该行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9" w:hRule="atLeast"/>
        </w:trPr>
        <w:tc>
          <w:tcPr>
            <w:tcW w:w="1080" w:type="dxa"/>
            <w:vAlign w:val="center"/>
          </w:tcPr>
          <w:p>
            <w:pPr>
              <w:spacing w:line="400" w:lineRule="atLeast"/>
              <w:ind w:firstLine="480" w:firstLineChars="2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szCs w:val="24"/>
                <w:highlight w:val="none"/>
                <w:lang w:val="zh-CN" w:eastAsia="zh-CN"/>
              </w:rPr>
              <w:t>9</w:t>
            </w:r>
          </w:p>
        </w:tc>
        <w:tc>
          <w:tcPr>
            <w:tcW w:w="3060" w:type="dxa"/>
            <w:vAlign w:val="center"/>
          </w:tcPr>
          <w:p>
            <w:pPr>
              <w:spacing w:line="400" w:lineRule="atLeast"/>
              <w:ind w:firstLine="0" w:firstLineChar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szCs w:val="24"/>
                <w:highlight w:val="none"/>
                <w:lang w:val="zh-CN" w:eastAsia="zh-CN"/>
              </w:rPr>
              <w:t>是否采用电子招标投标</w:t>
            </w:r>
          </w:p>
        </w:tc>
        <w:tc>
          <w:tcPr>
            <w:tcW w:w="5413" w:type="dxa"/>
            <w:vAlign w:val="center"/>
          </w:tcPr>
          <w:p>
            <w:pPr>
              <w:spacing w:line="400" w:lineRule="atLeast"/>
              <w:ind w:firstLine="0" w:firstLineChars="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zh-CN" w:eastAsia="zh-CN"/>
              </w:rPr>
              <w:t>否</w:t>
            </w:r>
          </w:p>
          <w:p>
            <w:pPr>
              <w:spacing w:line="400" w:lineRule="atLeast"/>
              <w:ind w:firstLine="0" w:firstLineChars="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szCs w:val="24"/>
                <w:highlight w:val="none"/>
                <w:lang w:val="zh-CN" w:eastAsia="zh-CN"/>
              </w:rPr>
              <w:sym w:font="Wingdings 2" w:char="0052"/>
            </w:r>
            <w:r>
              <w:rPr>
                <w:rFonts w:hint="eastAsia" w:ascii="仿宋_GB2312" w:hAnsi="仿宋_GB2312" w:eastAsia="仿宋_GB2312" w:cs="仿宋_GB2312"/>
                <w:color w:val="auto"/>
                <w:sz w:val="24"/>
                <w:szCs w:val="24"/>
                <w:highlight w:val="none"/>
                <w:lang w:val="zh-CN" w:eastAsia="zh-CN"/>
              </w:rPr>
              <w:t>是</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zh-CN" w:eastAsia="zh-CN"/>
              </w:rPr>
              <w:t>具体要求</w:t>
            </w:r>
            <w:r>
              <w:rPr>
                <w:rFonts w:hint="eastAsia" w:ascii="仿宋_GB2312" w:hAnsi="仿宋_GB2312" w:eastAsia="仿宋_GB2312" w:cs="仿宋_GB2312"/>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1.4.4</w:t>
            </w:r>
          </w:p>
        </w:tc>
        <w:tc>
          <w:tcPr>
            <w:tcW w:w="8473" w:type="dxa"/>
            <w:gridSpan w:val="2"/>
            <w:vAlign w:val="center"/>
          </w:tcPr>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第1.4.4项中（1）目中的“招标项目所在地”指“广东省”。</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在投标人须知范本原文1.4.4款第（6）项不适用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spacing w:line="360" w:lineRule="auto"/>
              <w:ind w:right="124" w:rightChars="59"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2.2.3</w:t>
            </w:r>
          </w:p>
        </w:tc>
        <w:tc>
          <w:tcPr>
            <w:tcW w:w="8473" w:type="dxa"/>
            <w:gridSpan w:val="2"/>
            <w:vAlign w:val="center"/>
          </w:tcPr>
          <w:p>
            <w:pPr>
              <w:spacing w:line="360" w:lineRule="auto"/>
              <w:ind w:right="124" w:rightChars="59"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投标人须知正文第</w:t>
            </w:r>
            <w:r>
              <w:rPr>
                <w:rFonts w:hint="eastAsia" w:ascii="仿宋_GB2312" w:hAnsi="仿宋_GB2312" w:eastAsia="仿宋_GB2312" w:cs="仿宋_GB2312"/>
                <w:color w:val="auto"/>
                <w:sz w:val="24"/>
                <w:szCs w:val="24"/>
                <w:highlight w:val="none"/>
                <w:lang w:val="en-US" w:eastAsia="zh-CN"/>
              </w:rPr>
              <w:t>2.2.3</w:t>
            </w:r>
            <w:r>
              <w:rPr>
                <w:rFonts w:hint="eastAsia" w:ascii="仿宋_GB2312" w:hAnsi="仿宋_GB2312" w:eastAsia="仿宋_GB2312" w:cs="仿宋_GB2312"/>
                <w:color w:val="auto"/>
                <w:sz w:val="24"/>
                <w:szCs w:val="24"/>
                <w:highlight w:val="none"/>
              </w:rPr>
              <w:t>项内容</w:t>
            </w:r>
            <w:r>
              <w:rPr>
                <w:rFonts w:hint="eastAsia" w:ascii="仿宋_GB2312" w:hAnsi="仿宋_GB2312" w:eastAsia="仿宋_GB2312" w:cs="仿宋_GB2312"/>
                <w:color w:val="auto"/>
                <w:sz w:val="24"/>
                <w:szCs w:val="24"/>
                <w:highlight w:val="none"/>
                <w:lang w:eastAsia="zh-CN"/>
              </w:rPr>
              <w:t>修改</w:t>
            </w:r>
            <w:r>
              <w:rPr>
                <w:rFonts w:hint="eastAsia" w:ascii="仿宋_GB2312" w:hAnsi="仿宋_GB2312" w:eastAsia="仿宋_GB2312" w:cs="仿宋_GB2312"/>
                <w:color w:val="auto"/>
                <w:sz w:val="24"/>
                <w:szCs w:val="24"/>
                <w:highlight w:val="none"/>
              </w:rPr>
              <w:t>如下：</w:t>
            </w:r>
          </w:p>
          <w:p>
            <w:pPr>
              <w:spacing w:line="360" w:lineRule="auto"/>
              <w:ind w:right="124" w:rightChars="59"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2.2.3 招标文件澄清发出</w:t>
            </w:r>
            <w:r>
              <w:rPr>
                <w:rFonts w:hint="eastAsia" w:ascii="仿宋_GB2312" w:hAnsi="仿宋_GB2312" w:eastAsia="仿宋_GB2312" w:cs="仿宋_GB2312"/>
                <w:color w:val="auto"/>
                <w:sz w:val="24"/>
                <w:szCs w:val="24"/>
                <w:highlight w:val="none"/>
                <w:lang w:eastAsia="zh-CN"/>
              </w:rPr>
              <w:t>后</w:t>
            </w:r>
            <w:r>
              <w:rPr>
                <w:rFonts w:hint="eastAsia" w:ascii="仿宋_GB2312" w:hAnsi="仿宋_GB2312" w:eastAsia="仿宋_GB2312" w:cs="仿宋_GB2312"/>
                <w:color w:val="auto"/>
                <w:sz w:val="24"/>
                <w:szCs w:val="24"/>
                <w:highlight w:val="none"/>
              </w:rPr>
              <w:t>，投标人</w:t>
            </w:r>
            <w:r>
              <w:rPr>
                <w:rFonts w:hint="eastAsia" w:ascii="仿宋_GB2312" w:hAnsi="仿宋_GB2312" w:eastAsia="仿宋_GB2312" w:cs="仿宋_GB2312"/>
                <w:color w:val="auto"/>
                <w:sz w:val="24"/>
                <w:szCs w:val="24"/>
                <w:highlight w:val="none"/>
                <w:lang w:eastAsia="zh-CN"/>
              </w:rPr>
              <w:t>应及时浏览电子交易平台、</w:t>
            </w:r>
            <w:r>
              <w:rPr>
                <w:rFonts w:hint="eastAsia" w:ascii="仿宋_GB2312" w:hAnsi="仿宋_GB2312" w:eastAsia="仿宋_GB2312" w:cs="仿宋_GB2312"/>
                <w:color w:val="auto"/>
                <w:sz w:val="24"/>
                <w:szCs w:val="24"/>
                <w:highlight w:val="none"/>
              </w:rPr>
              <w:t>网上发出的澄清，因投标人自身原因未及时获知澄清内容而导致的任何后果将由投标人自行承担。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spacing w:line="360" w:lineRule="auto"/>
              <w:ind w:right="124" w:rightChars="59"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2.3.2</w:t>
            </w:r>
          </w:p>
        </w:tc>
        <w:tc>
          <w:tcPr>
            <w:tcW w:w="8473" w:type="dxa"/>
            <w:gridSpan w:val="2"/>
            <w:vAlign w:val="center"/>
          </w:tcPr>
          <w:p>
            <w:pPr>
              <w:spacing w:line="360" w:lineRule="auto"/>
              <w:ind w:right="124" w:rightChars="59" w:firstLine="480" w:firstLineChars="200"/>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投标人须知正文第2.3.2项</w:t>
            </w:r>
            <w:r>
              <w:rPr>
                <w:rFonts w:hint="eastAsia" w:ascii="仿宋_GB2312" w:hAnsi="仿宋_GB2312" w:eastAsia="仿宋_GB2312" w:cs="仿宋_GB2312"/>
                <w:b w:val="0"/>
                <w:bCs w:val="0"/>
                <w:color w:val="auto"/>
                <w:sz w:val="24"/>
                <w:szCs w:val="24"/>
                <w:highlight w:val="none"/>
              </w:rPr>
              <w:t>内容</w:t>
            </w:r>
            <w:r>
              <w:rPr>
                <w:rFonts w:hint="eastAsia" w:ascii="仿宋_GB2312" w:hAnsi="仿宋_GB2312" w:eastAsia="仿宋_GB2312" w:cs="仿宋_GB2312"/>
                <w:b w:val="0"/>
                <w:bCs w:val="0"/>
                <w:color w:val="auto"/>
                <w:sz w:val="24"/>
                <w:highlight w:val="none"/>
              </w:rPr>
              <w:t>修改为：</w:t>
            </w:r>
          </w:p>
          <w:p>
            <w:pPr>
              <w:spacing w:line="360" w:lineRule="auto"/>
              <w:ind w:right="124" w:rightChars="59"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highlight w:val="none"/>
              </w:rPr>
              <w:t>2.3.2 招标文件修改发出</w:t>
            </w:r>
            <w:r>
              <w:rPr>
                <w:rFonts w:hint="eastAsia" w:ascii="仿宋_GB2312" w:hAnsi="仿宋_GB2312" w:eastAsia="仿宋_GB2312" w:cs="仿宋_GB2312"/>
                <w:color w:val="auto"/>
                <w:sz w:val="24"/>
                <w:highlight w:val="none"/>
                <w:lang w:eastAsia="zh-CN"/>
              </w:rPr>
              <w:t>后</w:t>
            </w:r>
            <w:r>
              <w:rPr>
                <w:rFonts w:hint="eastAsia" w:ascii="仿宋_GB2312" w:hAnsi="仿宋_GB2312" w:eastAsia="仿宋_GB2312" w:cs="仿宋_GB2312"/>
                <w:color w:val="auto"/>
                <w:sz w:val="24"/>
                <w:highlight w:val="none"/>
              </w:rPr>
              <w:t>，投标人</w:t>
            </w:r>
            <w:r>
              <w:rPr>
                <w:rFonts w:hint="eastAsia" w:ascii="仿宋_GB2312" w:hAnsi="仿宋_GB2312" w:eastAsia="仿宋_GB2312" w:cs="仿宋_GB2312"/>
                <w:color w:val="auto"/>
                <w:sz w:val="24"/>
                <w:highlight w:val="none"/>
                <w:lang w:eastAsia="zh-CN"/>
              </w:rPr>
              <w:t>应及时浏览电子交易</w:t>
            </w:r>
            <w:r>
              <w:rPr>
                <w:rFonts w:hint="eastAsia" w:ascii="仿宋_GB2312" w:hAnsi="仿宋_GB2312" w:eastAsia="仿宋_GB2312" w:cs="仿宋_GB2312"/>
                <w:color w:val="auto"/>
                <w:sz w:val="24"/>
                <w:highlight w:val="none"/>
              </w:rPr>
              <w:t>平台</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浏览网上发出的修改，因投标人自身原因未及时获知修改内容而导致的任何后果将由投标人自行承担。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spacing w:line="360" w:lineRule="auto"/>
              <w:ind w:right="124" w:rightChars="59"/>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szCs w:val="24"/>
                <w:highlight w:val="none"/>
              </w:rPr>
              <w:t>3.2.1</w:t>
            </w:r>
          </w:p>
        </w:tc>
        <w:tc>
          <w:tcPr>
            <w:tcW w:w="8473" w:type="dxa"/>
            <w:gridSpan w:val="2"/>
            <w:vAlign w:val="center"/>
          </w:tcPr>
          <w:p>
            <w:pPr>
              <w:spacing w:line="360" w:lineRule="auto"/>
              <w:ind w:right="124" w:rightChars="59"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投标人须知正文第3.2.1项内容</w:t>
            </w:r>
            <w:r>
              <w:rPr>
                <w:rFonts w:hint="eastAsia" w:ascii="仿宋_GB2312" w:hAnsi="仿宋_GB2312" w:eastAsia="仿宋_GB2312" w:cs="仿宋_GB2312"/>
                <w:color w:val="auto"/>
                <w:sz w:val="24"/>
                <w:szCs w:val="24"/>
                <w:highlight w:val="none"/>
                <w:lang w:eastAsia="zh-CN"/>
              </w:rPr>
              <w:t>修改</w:t>
            </w:r>
            <w:r>
              <w:rPr>
                <w:rFonts w:hint="eastAsia" w:ascii="仿宋_GB2312" w:hAnsi="仿宋_GB2312" w:eastAsia="仿宋_GB2312" w:cs="仿宋_GB2312"/>
                <w:color w:val="auto"/>
                <w:sz w:val="24"/>
                <w:szCs w:val="24"/>
                <w:highlight w:val="none"/>
              </w:rPr>
              <w:t>如下：</w:t>
            </w:r>
          </w:p>
          <w:p>
            <w:pPr>
              <w:spacing w:line="360" w:lineRule="auto"/>
              <w:ind w:right="124" w:rightChars="59" w:firstLine="480" w:firstLineChars="200"/>
              <w:jc w:val="both"/>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本项目招标采用工程量固化清单，招标人在出售招标文件或发放补遗书的同时将工程量固化清单电子文件按投标人须知前附表载明的形式公布给投标人。投标人填写工程量清单中各子目的单价及总额价</w:t>
            </w:r>
            <w:r>
              <w:rPr>
                <w:rFonts w:hint="eastAsia" w:ascii="仿宋_GB2312" w:hAnsi="仿宋_GB2312" w:eastAsia="仿宋_GB2312" w:cs="仿宋_GB2312"/>
                <w:color w:val="auto"/>
                <w:sz w:val="24"/>
                <w:szCs w:val="24"/>
                <w:highlight w:val="none"/>
                <w:lang w:eastAsia="zh-CN"/>
              </w:rPr>
              <w:t>，导出</w:t>
            </w:r>
            <w:r>
              <w:rPr>
                <w:rFonts w:hint="eastAsia" w:ascii="仿宋_GB2312" w:hAnsi="仿宋_GB2312" w:eastAsia="仿宋_GB2312" w:cs="仿宋_GB2312"/>
                <w:color w:val="auto"/>
                <w:sz w:val="24"/>
                <w:szCs w:val="24"/>
                <w:highlight w:val="none"/>
              </w:rPr>
              <w:t>投标工程量清单</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xml格式</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，即可完成投标工程量清单的编制。投标人未在工程量清单中填入单价或总额价的工程子目，将被认为其已包含在工程量清单其他子目的单价和总额价中，招标人将不予支付。</w:t>
            </w:r>
          </w:p>
          <w:p>
            <w:pPr>
              <w:spacing w:line="360" w:lineRule="auto"/>
              <w:ind w:right="124" w:rightChars="59" w:firstLine="480" w:firstLineChars="200"/>
              <w:jc w:val="both"/>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投标人必须严格遵循工程量固化清单电子文件中的数据、格式及运算定义，严禁投标人修改工程量固化清单电子文件中的数据、格式及运算定义。</w:t>
            </w:r>
          </w:p>
          <w:p>
            <w:pPr>
              <w:spacing w:line="360" w:lineRule="auto"/>
              <w:ind w:right="124" w:rightChars="59"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szCs w:val="24"/>
                <w:highlight w:val="none"/>
              </w:rPr>
              <w:t>投标报价的所有单价取小数点后两位，所有合价和总价应四舍五入</w:t>
            </w:r>
            <w:r>
              <w:rPr>
                <w:rFonts w:hint="eastAsia" w:ascii="仿宋_GB2312" w:hAnsi="仿宋_GB2312" w:eastAsia="仿宋_GB2312" w:cs="仿宋_GB2312"/>
                <w:color w:val="auto"/>
                <w:sz w:val="24"/>
                <w:szCs w:val="24"/>
                <w:highlight w:val="none"/>
                <w:lang w:eastAsia="zh-CN"/>
              </w:rPr>
              <w:t>至小数点后两位</w:t>
            </w:r>
            <w:r>
              <w:rPr>
                <w:rFonts w:hint="eastAsia" w:ascii="仿宋_GB2312" w:hAnsi="仿宋_GB2312" w:eastAsia="仿宋_GB2312" w:cs="仿宋_GB2312"/>
                <w:color w:val="auto"/>
                <w:sz w:val="24"/>
                <w:szCs w:val="24"/>
                <w:highlight w:val="none"/>
              </w:rPr>
              <w:t>数</w:t>
            </w:r>
            <w:r>
              <w:rPr>
                <w:rFonts w:hint="eastAsia" w:ascii="仿宋_GB2312" w:hAnsi="仿宋_GB2312" w:eastAsia="仿宋_GB2312" w:cs="仿宋_GB2312"/>
                <w:color w:val="auto"/>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spacing w:line="360" w:lineRule="auto"/>
              <w:ind w:right="124" w:rightChars="59" w:firstLine="0" w:firstLineChars="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szCs w:val="24"/>
                <w:highlight w:val="none"/>
                <w:lang w:val="en-US" w:eastAsia="zh-CN"/>
              </w:rPr>
              <w:t>3.5.4</w:t>
            </w:r>
          </w:p>
        </w:tc>
        <w:tc>
          <w:tcPr>
            <w:tcW w:w="8473" w:type="dxa"/>
            <w:gridSpan w:val="2"/>
            <w:vAlign w:val="center"/>
          </w:tcPr>
          <w:p>
            <w:pPr>
              <w:spacing w:line="360" w:lineRule="auto"/>
              <w:ind w:right="124" w:rightChars="59" w:firstLine="480" w:firstLineChars="2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投标人须知正文第3.5.4项内容修改如下：</w:t>
            </w:r>
          </w:p>
          <w:p>
            <w:pPr>
              <w:spacing w:line="360" w:lineRule="auto"/>
              <w:ind w:right="124" w:rightChars="59"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“投标人的信誉情况”应附投标人在国家企业信用信息公示系统中未被列入严重违法失信企业名单、在“信用中国”网站中未被列入失信被执行人名单的网页截图复印件。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3.7.4</w:t>
            </w:r>
          </w:p>
        </w:tc>
        <w:tc>
          <w:tcPr>
            <w:tcW w:w="8473" w:type="dxa"/>
            <w:gridSpan w:val="2"/>
            <w:vAlign w:val="center"/>
          </w:tcPr>
          <w:p>
            <w:pPr>
              <w:spacing w:line="32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投标人须知正文3.7.4项内容修改如下：</w:t>
            </w:r>
          </w:p>
          <w:p>
            <w:pPr>
              <w:spacing w:line="32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投标人以电子文件形式通过“电子交易平台”网上递交下列投标文件：</w:t>
            </w:r>
          </w:p>
          <w:p>
            <w:pPr>
              <w:spacing w:line="32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1、商务和技术文件1份（pdf</w:t>
            </w:r>
            <w:r>
              <w:rPr>
                <w:rFonts w:hint="eastAsia"/>
                <w:color w:val="auto"/>
                <w:highlight w:val="none"/>
                <w:lang w:eastAsia="zh-CN"/>
              </w:rPr>
              <w:t>格式</w:t>
            </w:r>
            <w:r>
              <w:rPr>
                <w:rFonts w:hint="eastAsia" w:ascii="仿宋_GB2312" w:hAnsi="仿宋_GB2312" w:eastAsia="仿宋_GB2312" w:cs="仿宋_GB2312"/>
                <w:color w:val="auto"/>
                <w:sz w:val="24"/>
                <w:szCs w:val="24"/>
                <w:highlight w:val="none"/>
              </w:rPr>
              <w:t>）</w:t>
            </w:r>
          </w:p>
          <w:p>
            <w:pPr>
              <w:spacing w:line="32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2、报价文件</w:t>
            </w:r>
            <w:r>
              <w:rPr>
                <w:rFonts w:hint="eastAsia" w:ascii="仿宋_GB2312" w:hAnsi="仿宋_GB2312" w:eastAsia="仿宋_GB2312" w:cs="仿宋_GB2312"/>
                <w:color w:val="auto"/>
                <w:sz w:val="24"/>
                <w:szCs w:val="24"/>
                <w:highlight w:val="none"/>
                <w:lang w:val="en-US" w:eastAsia="zh-CN"/>
              </w:rPr>
              <w:t>（除已报价的工程量清单表）</w:t>
            </w:r>
            <w:r>
              <w:rPr>
                <w:rFonts w:hint="eastAsia" w:ascii="仿宋_GB2312" w:hAnsi="仿宋_GB2312" w:eastAsia="仿宋_GB2312" w:cs="仿宋_GB2312"/>
                <w:color w:val="auto"/>
                <w:sz w:val="24"/>
                <w:szCs w:val="24"/>
                <w:highlight w:val="none"/>
              </w:rPr>
              <w:t>1份（pdf</w:t>
            </w:r>
            <w:r>
              <w:rPr>
                <w:rFonts w:hint="eastAsia"/>
                <w:color w:val="auto"/>
                <w:highlight w:val="none"/>
                <w:lang w:eastAsia="zh-CN"/>
              </w:rPr>
              <w:t>格式</w:t>
            </w:r>
            <w:r>
              <w:rPr>
                <w:rFonts w:hint="eastAsia" w:ascii="仿宋_GB2312" w:hAnsi="仿宋_GB2312" w:eastAsia="仿宋_GB2312" w:cs="仿宋_GB2312"/>
                <w:color w:val="auto"/>
                <w:sz w:val="24"/>
                <w:szCs w:val="24"/>
                <w:highlight w:val="none"/>
              </w:rPr>
              <w:t>）</w:t>
            </w:r>
          </w:p>
          <w:p>
            <w:pPr>
              <w:pStyle w:val="2"/>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3、已报价的工程量清单表（xml格式）</w:t>
            </w:r>
          </w:p>
          <w:p>
            <w:pPr>
              <w:spacing w:line="320" w:lineRule="exact"/>
              <w:ind w:firstLine="360" w:firstLineChars="15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投标人在投标截止时间前自行向“电子交易平台”上传。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3.7.5</w:t>
            </w:r>
          </w:p>
        </w:tc>
        <w:tc>
          <w:tcPr>
            <w:tcW w:w="8473" w:type="dxa"/>
            <w:gridSpan w:val="2"/>
            <w:vAlign w:val="center"/>
          </w:tcPr>
          <w:p>
            <w:pPr>
              <w:spacing w:line="32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投标人须知正文3.7.5项内容修改如下：</w:t>
            </w:r>
          </w:p>
          <w:p>
            <w:pPr>
              <w:spacing w:line="32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全部投标文件均应制作成PDF电子文件,文件大小应满足“电子交易平台”的要求。投标文件中需要盖章的，应按招标文件要求加盖公章后扫描成电子文档或采用单位数字证书在相应位置加盖电子印章。投标文件中需个人签字的，应按招标文件要求手签后扫描成电子文档。相关操作手册请自行登录“中山市公共资源交易网-办事指南”栏目下载查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4.1</w:t>
            </w:r>
          </w:p>
        </w:tc>
        <w:tc>
          <w:tcPr>
            <w:tcW w:w="8473" w:type="dxa"/>
            <w:gridSpan w:val="2"/>
            <w:vAlign w:val="center"/>
          </w:tcPr>
          <w:p>
            <w:pPr>
              <w:spacing w:line="32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投标人须知正文4.1款内容修改如下:</w:t>
            </w:r>
          </w:p>
          <w:p>
            <w:pPr>
              <w:spacing w:line="32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4.1.1加密的投标文件应按照本章第3.7.3-3.7.5项要求制作并加密，未按要求加密的投标文件，招标人（“电子交易平台”）将拒绝接</w:t>
            </w:r>
            <w:r>
              <w:rPr>
                <w:rFonts w:hint="eastAsia" w:ascii="仿宋_GB2312" w:hAnsi="仿宋_GB2312" w:eastAsia="仿宋_GB2312" w:cs="仿宋_GB2312"/>
                <w:color w:val="auto"/>
                <w:sz w:val="24"/>
                <w:szCs w:val="24"/>
                <w:highlight w:val="none"/>
                <w:lang w:eastAsia="zh-CN"/>
              </w:rPr>
              <w:t>收</w:t>
            </w:r>
            <w:r>
              <w:rPr>
                <w:rFonts w:hint="eastAsia" w:ascii="仿宋_GB2312" w:hAnsi="仿宋_GB2312" w:eastAsia="仿宋_GB2312" w:cs="仿宋_GB2312"/>
                <w:color w:val="auto"/>
                <w:sz w:val="24"/>
                <w:szCs w:val="24"/>
                <w:highlight w:val="none"/>
              </w:rPr>
              <w:t>并提示。</w:t>
            </w:r>
          </w:p>
          <w:p>
            <w:pPr>
              <w:spacing w:line="32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删除4.1.2项内容。</w:t>
            </w:r>
          </w:p>
          <w:p>
            <w:pPr>
              <w:spacing w:line="32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4.1.3未按本章4.1.1项要求加密的投标文件，招标人将予以拒收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4.2</w:t>
            </w:r>
          </w:p>
        </w:tc>
        <w:tc>
          <w:tcPr>
            <w:tcW w:w="8473" w:type="dxa"/>
            <w:gridSpan w:val="2"/>
            <w:vAlign w:val="center"/>
          </w:tcPr>
          <w:p>
            <w:pPr>
              <w:spacing w:line="32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投标人须知正文4.2款内容修改为：</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4.2.1 投标人应在第一章“招标公告”或“投标邀请书”规定的投标截止时间前提交。投标文件全部电子文档必须采用投标人数字证书进行上传，投标人应当按照招标文件和“电子交易平台”的要求加密投标文件，并保存上传成功后系统自动生成的电子签收凭证（递交回执通知），递交时间以递交回执通知载明的传输完成时间为准。投标人应充分考虑上传文件的不可预见因素，未在投标截止时间前完成上传的，视为逾期送达，招标人（“电子交易平台”）将拒绝接</w:t>
            </w:r>
            <w:r>
              <w:rPr>
                <w:rFonts w:hint="eastAsia" w:ascii="仿宋_GB2312" w:hAnsi="仿宋_GB2312" w:eastAsia="仿宋_GB2312" w:cs="仿宋_GB2312"/>
                <w:color w:val="auto"/>
                <w:sz w:val="24"/>
                <w:szCs w:val="24"/>
                <w:highlight w:val="none"/>
                <w:lang w:eastAsia="zh-CN"/>
              </w:rPr>
              <w:t>收</w:t>
            </w:r>
            <w:r>
              <w:rPr>
                <w:rFonts w:hint="eastAsia" w:ascii="仿宋_GB2312" w:hAnsi="仿宋_GB2312" w:eastAsia="仿宋_GB2312" w:cs="仿宋_GB2312"/>
                <w:color w:val="auto"/>
                <w:sz w:val="24"/>
                <w:szCs w:val="24"/>
                <w:highlight w:val="none"/>
              </w:rPr>
              <w:t>。相关操作手册请自行登录“中山市公共资源交易网-办事指南”栏目下载查阅。</w:t>
            </w:r>
          </w:p>
          <w:p>
            <w:pPr>
              <w:spacing w:line="32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4.2.2 根据本章第4.1.1项的规定，投标人递交的投标文件，只要出现投标文件应当拒收的情形，其投标文件予以拒收。</w:t>
            </w:r>
          </w:p>
          <w:p>
            <w:pPr>
              <w:spacing w:line="32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4.2.3投标人所递交的投标文件不予退还。</w:t>
            </w:r>
          </w:p>
          <w:p>
            <w:pPr>
              <w:spacing w:line="320" w:lineRule="exac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删除4.2.4、4.2.5项内容。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4.3</w:t>
            </w:r>
          </w:p>
        </w:tc>
        <w:tc>
          <w:tcPr>
            <w:tcW w:w="8473" w:type="dxa"/>
            <w:gridSpan w:val="2"/>
            <w:vAlign w:val="center"/>
          </w:tcPr>
          <w:p>
            <w:pPr>
              <w:spacing w:line="3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投标人须知4.3款内容修改为：</w:t>
            </w:r>
          </w:p>
          <w:p>
            <w:pPr>
              <w:spacing w:line="3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4.3.1在本章第4.2.1项规定的投标截止时间前，投标人可以修改或撤回已递交的投标文件。投标人对于加密的投标文件进行撤回的，应在“电子交易平台”直接进行撤回操作；投标人对加密的投标文件进行修改的，应在投标文件截止时间前完成上传。</w:t>
            </w:r>
          </w:p>
          <w:p>
            <w:pPr>
              <w:spacing w:line="3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4.3.2对采用网上递交的加密的投标文件，</w:t>
            </w:r>
            <w:r>
              <w:rPr>
                <w:rFonts w:hint="eastAsia" w:ascii="仿宋_GB2312" w:hAnsi="仿宋_GB2312" w:eastAsia="仿宋_GB2312" w:cs="仿宋_GB2312"/>
                <w:color w:val="auto"/>
                <w:sz w:val="24"/>
                <w:highlight w:val="none"/>
                <w:lang w:eastAsia="zh-CN"/>
              </w:rPr>
              <w:t>以</w:t>
            </w:r>
            <w:r>
              <w:rPr>
                <w:rFonts w:hint="eastAsia" w:ascii="仿宋_GB2312" w:hAnsi="仿宋_GB2312" w:eastAsia="仿宋_GB2312" w:cs="仿宋_GB2312"/>
                <w:color w:val="auto"/>
                <w:sz w:val="24"/>
                <w:highlight w:val="none"/>
              </w:rPr>
              <w:t>投标截止时间前最后完成上传的文件为准。</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4.3.3投标人撤回投标文件的。招标人自收到投标人书面撤回通知之日起5日内退还已收取的投标保证金。</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4.3.4 投标人修改投标文件的，应按照本章第3条、第4条要求进行编制、加密和递交。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5.1</w:t>
            </w:r>
          </w:p>
        </w:tc>
        <w:tc>
          <w:tcPr>
            <w:tcW w:w="8473" w:type="dxa"/>
            <w:gridSpan w:val="2"/>
            <w:vAlign w:val="center"/>
          </w:tcPr>
          <w:p>
            <w:pPr>
              <w:ind w:firstLine="480" w:firstLineChars="200"/>
              <w:rPr>
                <w:rFonts w:hint="eastAsia" w:ascii="仿宋_GB2312" w:hAnsi="仿宋_GB2312" w:eastAsia="仿宋_GB2312" w:cs="仿宋_GB2312"/>
                <w:color w:val="auto"/>
                <w:sz w:val="24"/>
                <w:highlight w:val="none"/>
              </w:rPr>
            </w:pPr>
            <w:bookmarkStart w:id="0" w:name="_Toc503235876"/>
            <w:bookmarkStart w:id="1" w:name="_Toc501257531"/>
            <w:r>
              <w:rPr>
                <w:rFonts w:hint="eastAsia" w:ascii="仿宋_GB2312" w:hAnsi="仿宋_GB2312" w:eastAsia="仿宋_GB2312" w:cs="仿宋_GB2312"/>
                <w:color w:val="auto"/>
                <w:sz w:val="24"/>
                <w:highlight w:val="none"/>
              </w:rPr>
              <w:t>投标人须知正文5.1款内容修改为：</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5.1开标时间和地点</w:t>
            </w:r>
          </w:p>
          <w:bookmarkEnd w:id="0"/>
          <w:bookmarkEnd w:id="1"/>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5.1.1 招标人在本章“投标人须知前附表”规定的投标截止时间（开标时间）和投标人须知前附表规定的地点公开开标。本项目在中山市公共资源交易中心现场组织网上开标，投标人无需抵达开标现场。投标人可登录中山市公共资源交易网（http://ggzyjy.zs.gov.cn)“工程建设项目交易业务系统”→“参与项目”→“网上开标”栏目查看项目开标过程，依法提出开标异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5.2</w:t>
            </w:r>
          </w:p>
        </w:tc>
        <w:tc>
          <w:tcPr>
            <w:tcW w:w="8473" w:type="dxa"/>
            <w:gridSpan w:val="2"/>
            <w:vAlign w:val="center"/>
          </w:tcPr>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若采用双信封形式，投标人须知正文第5.2款修改为：</w:t>
            </w:r>
          </w:p>
          <w:p>
            <w:pPr>
              <w:ind w:firstLine="480" w:firstLineChars="200"/>
              <w:rPr>
                <w:rFonts w:hint="eastAsia" w:ascii="仿宋_GB2312" w:hAnsi="仿宋_GB2312" w:eastAsia="仿宋_GB2312" w:cs="仿宋_GB2312"/>
                <w:color w:val="auto"/>
                <w:sz w:val="24"/>
                <w:highlight w:val="none"/>
              </w:rPr>
            </w:pPr>
            <w:bookmarkStart w:id="2" w:name="_Toc503235877"/>
            <w:bookmarkStart w:id="3" w:name="_Toc501257532"/>
            <w:r>
              <w:rPr>
                <w:rFonts w:hint="eastAsia" w:ascii="仿宋_GB2312" w:hAnsi="仿宋_GB2312" w:eastAsia="仿宋_GB2312" w:cs="仿宋_GB2312"/>
                <w:color w:val="auto"/>
                <w:sz w:val="24"/>
                <w:highlight w:val="none"/>
              </w:rPr>
              <w:t>5.2</w:t>
            </w:r>
            <w:r>
              <w:rPr>
                <w:rFonts w:hint="eastAsia" w:ascii="仿宋_GB2312" w:hAnsi="仿宋_GB2312" w:eastAsia="仿宋_GB2312" w:cs="仿宋_GB2312"/>
                <w:color w:val="auto"/>
                <w:sz w:val="24"/>
                <w:highlight w:val="none"/>
              </w:rPr>
              <w:tab/>
            </w:r>
            <w:r>
              <w:rPr>
                <w:rFonts w:hint="eastAsia" w:ascii="仿宋_GB2312" w:hAnsi="仿宋_GB2312" w:eastAsia="仿宋_GB2312" w:cs="仿宋_GB2312"/>
                <w:color w:val="auto"/>
                <w:sz w:val="24"/>
                <w:highlight w:val="none"/>
              </w:rPr>
              <w:t xml:space="preserve"> 开标程序</w:t>
            </w:r>
            <w:bookmarkEnd w:id="2"/>
            <w:bookmarkEnd w:id="3"/>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5.2.1 主持人按下列程序对投标文件第一个信封（商务及技术文件）在“电子交易平台”进行开标：</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（1）宣布开标纪律；</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（2）公布在投标截止时间前递交投标文件的投标人数量；</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（3）宣布开标人、唱标人、记录人等有关人员姓名；</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（4）由招标人通过“电子交易平台”随机抽取最高投标限价下浮率；</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（5）监管部门、交易中心、</w:t>
            </w:r>
            <w:r>
              <w:rPr>
                <w:rFonts w:hint="eastAsia" w:ascii="仿宋_GB2312" w:hAnsi="仿宋_GB2312" w:eastAsia="仿宋_GB2312" w:cs="仿宋_GB2312"/>
                <w:color w:val="auto"/>
                <w:sz w:val="24"/>
                <w:highlight w:val="none"/>
                <w:lang w:eastAsia="zh-CN"/>
              </w:rPr>
              <w:t>招</w:t>
            </w:r>
            <w:r>
              <w:rPr>
                <w:rFonts w:hint="eastAsia" w:ascii="仿宋_GB2312" w:hAnsi="仿宋_GB2312" w:eastAsia="仿宋_GB2312" w:cs="仿宋_GB2312"/>
                <w:color w:val="auto"/>
                <w:sz w:val="24"/>
                <w:highlight w:val="none"/>
              </w:rPr>
              <w:t>标人代表三方解密加密的投标文件；</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（6）导入并读取所有解密成功的投标文件第一个信封（商务及技术文件）的内容；</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（7）公布标段名称、投标人名称、投标保证金的递交情况等内容，并记录在案；</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（8）招标人告知投标人第一信封开标异议截止时间，若投标人未在截止时间前提出异议，视为对开标结果无异议；若投标人提出异议，招标人应当场处理并记录在案。</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（9）招标人打印第一信封开标记录，招标人代表、记录人等有关人员在开标记录上签字确认；</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（10）开标结束。</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5.2.2 投标文件第二个信封（报价文件）在投标文件第一个信封（商务及技术文件）完成评审前，“电子交易平台”的开标评标系统将不进行读取。</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5.2.3 招标人将按照本章第5.1款规定的时间和地点对投标文件第二个信封（报价文件）进行开标。主持人按下列程序进行开标：</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（1）宣布开标纪律；</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（2）宣布通过投标文件第一个信封（商务及技术文件）评审的投标人名单；</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（3）宣布开标人、唱标人、记录人等有关人员姓名；</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（4）开标人将所有投标文件第二个信封（报价文件）的内容导入“电子交易平台”的开标评标系统，未通过投标文件第一个信封（商务及技术文件）评审的投标人的第二个信封（报价文件）不予读取；</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（5）公布标段名称、投标人名称、投标报价及其他内容，并制作记录；</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（6）计算并宣布评标基准价； </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（7）招标人告知投标人第</w:t>
            </w:r>
            <w:r>
              <w:rPr>
                <w:rFonts w:hint="eastAsia" w:ascii="仿宋_GB2312" w:hAnsi="仿宋_GB2312" w:eastAsia="仿宋_GB2312" w:cs="仿宋_GB2312"/>
                <w:color w:val="auto"/>
                <w:sz w:val="24"/>
                <w:highlight w:val="none"/>
                <w:lang w:eastAsia="zh-CN"/>
              </w:rPr>
              <w:t>二</w:t>
            </w:r>
            <w:r>
              <w:rPr>
                <w:rFonts w:hint="eastAsia" w:ascii="仿宋_GB2312" w:hAnsi="仿宋_GB2312" w:eastAsia="仿宋_GB2312" w:cs="仿宋_GB2312"/>
                <w:color w:val="auto"/>
                <w:sz w:val="24"/>
                <w:highlight w:val="none"/>
              </w:rPr>
              <w:t>信封开标异议截止时间，若投标人未在截止时间前提出异议，视为对开标结果无异议；若投标人提出异议，招标人应当场处理并记录在案。</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（8）招标人打印第二信封开标记录，招标人代表、记录人等有关人员在开标记录上签字确认；</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（9）开标结束。</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5.2.4 若采用合理低价法或综合评分法，在投标文件第二个信封（报价文件）开标现场，招标人将按第三章“评标办法”规定的原则计算并宣布评标基准价。若招标人发现投标文件出现以下任一情况，其投标报价将不再参加评标基准价的计算：</w:t>
            </w:r>
          </w:p>
          <w:p>
            <w:pPr>
              <w:spacing w:line="24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（1）未在投标函上填写投标总价；</w:t>
            </w:r>
          </w:p>
          <w:p>
            <w:pPr>
              <w:spacing w:line="24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（2）投标报价超出招标人公布的最高投标限价（如有）；</w:t>
            </w:r>
          </w:p>
          <w:p>
            <w:pPr>
              <w:spacing w:line="240" w:lineRule="auto"/>
              <w:ind w:firstLine="480" w:firstLineChars="20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lang w:eastAsia="zh-CN"/>
              </w:rPr>
              <w:t>）投标函上填上的标段号与对应投标的项目标段号不一致。</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5.2.5 在投标文件第一个信封（商务及技术文件）或第二个信封（报价文件）开标过程中，若招标人宣读的内容与投标文件不符，投标人有权在开标现场提出疑问，经招标人当场核查确认之后，可重新宣读其投标文件。若投标人现场未提出疑问，则认为投标人已确认招标人宣读的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5.3</w:t>
            </w:r>
          </w:p>
        </w:tc>
        <w:tc>
          <w:tcPr>
            <w:tcW w:w="8473" w:type="dxa"/>
            <w:gridSpan w:val="2"/>
            <w:vAlign w:val="center"/>
          </w:tcPr>
          <w:p>
            <w:pPr>
              <w:spacing w:line="400" w:lineRule="atLeas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投标人须知正文5.3款内容修改为：</w:t>
            </w:r>
          </w:p>
          <w:p>
            <w:pPr>
              <w:spacing w:line="400" w:lineRule="atLeas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5.3开标异议</w:t>
            </w:r>
          </w:p>
          <w:p>
            <w:pPr>
              <w:spacing w:line="400" w:lineRule="atLeas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投标人对开标有异议的，应在规定时间内通过“电子交易平台”提出，招标人当场通过“电子交易平台”作出答复，并制作记录。</w:t>
            </w:r>
          </w:p>
          <w:p>
            <w:pPr>
              <w:spacing w:line="400" w:lineRule="atLeast"/>
              <w:ind w:firstLine="480" w:firstLineChars="200"/>
              <w:rPr>
                <w:rFonts w:hint="eastAsia" w:ascii="仿宋_GB2312" w:hAnsi="仿宋_GB2312" w:eastAsia="仿宋_GB2312" w:cs="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5.4</w:t>
            </w:r>
          </w:p>
        </w:tc>
        <w:tc>
          <w:tcPr>
            <w:tcW w:w="8473" w:type="dxa"/>
            <w:gridSpan w:val="2"/>
            <w:vAlign w:val="center"/>
          </w:tcPr>
          <w:p>
            <w:pPr>
              <w:spacing w:line="400" w:lineRule="atLeas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投标人须知正文增加5.4款内容：</w:t>
            </w:r>
          </w:p>
          <w:p>
            <w:pPr>
              <w:spacing w:line="420" w:lineRule="exact"/>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5.4</w:t>
            </w:r>
            <w:r>
              <w:rPr>
                <w:rFonts w:hint="eastAsia" w:ascii="仿宋_GB2312" w:hAnsi="仿宋_GB2312" w:eastAsia="仿宋_GB2312" w:cs="仿宋_GB2312"/>
                <w:color w:val="auto"/>
                <w:kern w:val="0"/>
                <w:sz w:val="24"/>
                <w:highlight w:val="none"/>
              </w:rPr>
              <w:t>发生下列情况的，开标（评标）无效、中止或终止，恢复开标（评标）的时间视情况而定。</w:t>
            </w:r>
          </w:p>
          <w:p>
            <w:pPr>
              <w:spacing w:line="420" w:lineRule="exact"/>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1、停电或服务器发生故障而无法访问网页或</w:t>
            </w:r>
            <w:r>
              <w:rPr>
                <w:rFonts w:hint="eastAsia" w:ascii="仿宋_GB2312" w:hAnsi="仿宋_GB2312" w:eastAsia="仿宋_GB2312" w:cs="仿宋_GB2312"/>
                <w:color w:val="auto"/>
                <w:sz w:val="24"/>
                <w:highlight w:val="none"/>
              </w:rPr>
              <w:t>工程建设项目交易业务系统</w:t>
            </w:r>
            <w:r>
              <w:rPr>
                <w:rFonts w:hint="eastAsia" w:ascii="仿宋_GB2312" w:hAnsi="仿宋_GB2312" w:eastAsia="仿宋_GB2312" w:cs="仿宋_GB2312"/>
                <w:color w:val="auto"/>
                <w:kern w:val="0"/>
                <w:sz w:val="24"/>
                <w:highlight w:val="none"/>
              </w:rPr>
              <w:t>；</w:t>
            </w:r>
          </w:p>
          <w:p>
            <w:pPr>
              <w:spacing w:line="420" w:lineRule="exact"/>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w:t>
            </w:r>
            <w:r>
              <w:rPr>
                <w:rFonts w:hint="eastAsia" w:ascii="仿宋_GB2312" w:hAnsi="仿宋_GB2312" w:eastAsia="仿宋_GB2312" w:cs="仿宋_GB2312"/>
                <w:color w:val="auto"/>
                <w:sz w:val="24"/>
                <w:highlight w:val="none"/>
              </w:rPr>
              <w:t>工程建设项目交易业务系统</w:t>
            </w:r>
            <w:r>
              <w:rPr>
                <w:rFonts w:hint="eastAsia" w:ascii="仿宋_GB2312" w:hAnsi="仿宋_GB2312" w:eastAsia="仿宋_GB2312" w:cs="仿宋_GB2312"/>
                <w:color w:val="auto"/>
                <w:kern w:val="0"/>
                <w:sz w:val="24"/>
                <w:highlight w:val="none"/>
              </w:rPr>
              <w:t>软件或网络数据库出现错误，不能进行正常的操作；</w:t>
            </w:r>
          </w:p>
          <w:p>
            <w:pPr>
              <w:spacing w:line="420" w:lineRule="exact"/>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w:t>
            </w:r>
            <w:r>
              <w:rPr>
                <w:rFonts w:hint="eastAsia" w:ascii="仿宋_GB2312" w:hAnsi="仿宋_GB2312" w:eastAsia="仿宋_GB2312" w:cs="仿宋_GB2312"/>
                <w:color w:val="auto"/>
                <w:sz w:val="24"/>
                <w:highlight w:val="none"/>
              </w:rPr>
              <w:t>工程建设项目交易业务系统</w:t>
            </w:r>
            <w:r>
              <w:rPr>
                <w:rFonts w:hint="eastAsia" w:ascii="仿宋_GB2312" w:hAnsi="仿宋_GB2312" w:eastAsia="仿宋_GB2312" w:cs="仿宋_GB2312"/>
                <w:color w:val="auto"/>
                <w:kern w:val="0"/>
                <w:sz w:val="24"/>
                <w:highlight w:val="none"/>
              </w:rPr>
              <w:t>发现有安全漏洞，有潜在的泄密危险；</w:t>
            </w:r>
          </w:p>
          <w:p>
            <w:pPr>
              <w:spacing w:line="420" w:lineRule="exact"/>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4、计算机病毒造成影响；</w:t>
            </w:r>
          </w:p>
          <w:p>
            <w:pPr>
              <w:spacing w:line="420" w:lineRule="exact"/>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5、其他无法保证电子招标投标过程的公平、公正和信息安全的意外情况；</w:t>
            </w:r>
          </w:p>
          <w:p>
            <w:pPr>
              <w:spacing w:line="420" w:lineRule="exact"/>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6、司法机关、纪检监察等部门依法要求中止或者终止电子招标投标活动的；</w:t>
            </w:r>
          </w:p>
          <w:p>
            <w:pPr>
              <w:spacing w:line="420" w:lineRule="exact"/>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7、市政府依法作出该项目中止或者终止的；</w:t>
            </w:r>
          </w:p>
          <w:p>
            <w:pPr>
              <w:spacing w:line="420" w:lineRule="exact"/>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8、招标人有正当理由要求中止的；</w:t>
            </w:r>
          </w:p>
          <w:p>
            <w:pPr>
              <w:spacing w:line="420" w:lineRule="exact"/>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9、依法应当中止或终止网上招标投标活动的其他情形。</w:t>
            </w:r>
          </w:p>
          <w:p>
            <w:pPr>
              <w:spacing w:line="420" w:lineRule="exact"/>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对于另行安排时间开标评标的项目，有关</w:t>
            </w:r>
            <w:r>
              <w:rPr>
                <w:rFonts w:hint="eastAsia" w:ascii="仿宋_GB2312" w:hAnsi="仿宋_GB2312" w:eastAsia="仿宋_GB2312" w:cs="仿宋_GB2312"/>
                <w:color w:val="auto"/>
                <w:kern w:val="0"/>
                <w:sz w:val="24"/>
                <w:highlight w:val="none"/>
                <w:lang w:eastAsia="zh-CN"/>
              </w:rPr>
              <w:t>信用等级</w:t>
            </w:r>
            <w:r>
              <w:rPr>
                <w:rFonts w:hint="eastAsia" w:ascii="仿宋_GB2312" w:hAnsi="仿宋_GB2312" w:eastAsia="仿宋_GB2312" w:cs="仿宋_GB2312"/>
                <w:color w:val="auto"/>
                <w:kern w:val="0"/>
                <w:sz w:val="24"/>
                <w:highlight w:val="none"/>
              </w:rPr>
              <w:t>分值仍以原电子投标文件截止上传时间为准，开标时，招标人（招标代理）须出具书面说明，提请评委注意有关</w:t>
            </w:r>
            <w:r>
              <w:rPr>
                <w:rFonts w:hint="eastAsia" w:ascii="仿宋_GB2312" w:hAnsi="仿宋_GB2312" w:eastAsia="仿宋_GB2312" w:cs="仿宋_GB2312"/>
                <w:color w:val="auto"/>
                <w:kern w:val="0"/>
                <w:sz w:val="24"/>
                <w:highlight w:val="none"/>
                <w:lang w:eastAsia="zh-CN"/>
              </w:rPr>
              <w:t>信用等级</w:t>
            </w:r>
            <w:r>
              <w:rPr>
                <w:rFonts w:hint="eastAsia" w:ascii="仿宋_GB2312" w:hAnsi="仿宋_GB2312" w:eastAsia="仿宋_GB2312" w:cs="仿宋_GB2312"/>
                <w:color w:val="auto"/>
                <w:kern w:val="0"/>
                <w:sz w:val="24"/>
                <w:highlight w:val="none"/>
              </w:rPr>
              <w:t>分值仍以原截标时间为准。</w:t>
            </w:r>
          </w:p>
          <w:p>
            <w:pPr>
              <w:spacing w:line="420" w:lineRule="exact"/>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对电子招标投标过程中出现的意外情况，市公共资源交易中心有解释权和处理权，招标人同步告知招投标监管部门。电子招标投标中止、终止或者结束后，招标人（招标代理）应将电子招标投标活动的记录下载打印成纸质文档存档。</w:t>
            </w:r>
          </w:p>
          <w:p>
            <w:pPr>
              <w:spacing w:line="420" w:lineRule="exact"/>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中标单位应将中标的投标资料打印一份，装订成册，加盖单位公章后交招标人。</w:t>
            </w:r>
          </w:p>
          <w:p>
            <w:pPr>
              <w:spacing w:line="420" w:lineRule="exact"/>
              <w:ind w:firstLine="480" w:firstLineChars="200"/>
              <w:rPr>
                <w:rFonts w:hint="eastAsia" w:ascii="仿宋_GB2312" w:hAnsi="仿宋_GB2312" w:eastAsia="仿宋_GB2312" w:cs="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5.5</w:t>
            </w:r>
          </w:p>
        </w:tc>
        <w:tc>
          <w:tcPr>
            <w:tcW w:w="8473" w:type="dxa"/>
            <w:gridSpan w:val="2"/>
            <w:vAlign w:val="center"/>
          </w:tcPr>
          <w:p>
            <w:pPr>
              <w:spacing w:line="400" w:lineRule="atLeas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投标人须知正文增加5.5款内容：</w:t>
            </w:r>
          </w:p>
          <w:p>
            <w:pPr>
              <w:spacing w:line="420" w:lineRule="exact"/>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投标人在电子招标投标活动中实施的行为所产生的后果，由投标人承担。</w:t>
            </w:r>
          </w:p>
          <w:p>
            <w:pPr>
              <w:spacing w:line="420" w:lineRule="exact"/>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1、投标人的数字证书和密码丢失或被他人冒用、盗用的后果，由投标人承担。</w:t>
            </w:r>
          </w:p>
          <w:p>
            <w:pPr>
              <w:spacing w:line="420" w:lineRule="exact"/>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2、使用他人数字证书或把数字证书借给他人使用的，作串通投标处理。</w:t>
            </w:r>
          </w:p>
          <w:p>
            <w:pPr>
              <w:spacing w:line="420" w:lineRule="exact"/>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3、因投标人计算机系统遭遇网络堵塞、病毒入侵、硬件故障等不能正常登录网上招标投标系统投标的，后果由投标人承担，电子招标投标活动继续进行。</w:t>
            </w:r>
          </w:p>
          <w:p>
            <w:pPr>
              <w:spacing w:line="420" w:lineRule="exact"/>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4、电子招标投标活动过程中有不良行为的依照《中山市公路水运工程企业诚信管理办法》进行处理。请投标人及时维护、更新中山市公路水运企业诚信管理平台的信息，确保其有效性。</w:t>
            </w:r>
          </w:p>
          <w:p>
            <w:pPr>
              <w:spacing w:line="420" w:lineRule="exact"/>
              <w:ind w:firstLine="480" w:firstLineChars="2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5、电子投标文件应根据招标文件及</w:t>
            </w:r>
            <w:r>
              <w:rPr>
                <w:rFonts w:hint="eastAsia" w:ascii="仿宋_GB2312" w:hAnsi="仿宋_GB2312" w:eastAsia="仿宋_GB2312" w:cs="仿宋_GB2312"/>
                <w:color w:val="auto"/>
                <w:sz w:val="24"/>
                <w:highlight w:val="none"/>
              </w:rPr>
              <w:t>“电子交易平台”的要求编制</w:t>
            </w:r>
            <w:r>
              <w:rPr>
                <w:rFonts w:hint="eastAsia" w:ascii="仿宋_GB2312" w:hAnsi="仿宋_GB2312" w:eastAsia="仿宋_GB2312" w:cs="仿宋_GB2312"/>
                <w:color w:val="auto"/>
                <w:kern w:val="0"/>
                <w:sz w:val="24"/>
                <w:highlight w:val="none"/>
              </w:rPr>
              <w:t>，不按要求编制导致电子投标文件无法读取或无法打开的，按废标处理。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6.3.2</w:t>
            </w:r>
          </w:p>
        </w:tc>
        <w:tc>
          <w:tcPr>
            <w:tcW w:w="8473" w:type="dxa"/>
            <w:gridSpan w:val="2"/>
            <w:vAlign w:val="center"/>
          </w:tcPr>
          <w:p>
            <w:pPr>
              <w:spacing w:line="3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投标人须知正文6.3.2项内容修改如下：</w:t>
            </w:r>
          </w:p>
          <w:p>
            <w:pPr>
              <w:spacing w:line="400" w:lineRule="atLeas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评标委员会按照本章第6.3.1项的规定在电子评标系统上开展评审工作，评标完成后，评标委员会应向招标人提交书面及电子评标报告和中标候选人名单。如果评标过程中出现异常情况，导致无法继续评审工作的，可暂停评标，对原有资料及信息作出妥善保密处理，待电子评标系统恢复正常之后，应重新组织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hint="eastAsia" w:ascii="仿宋_GB2312" w:hAnsi="仿宋_GB2312" w:eastAsia="仿宋_GB2312" w:cs="仿宋_GB2312"/>
                <w:color w:val="auto"/>
                <w:sz w:val="24"/>
                <w:highlight w:val="none"/>
              </w:rPr>
            </w:pPr>
            <w:r>
              <w:rPr>
                <w:rFonts w:hint="eastAsia" w:ascii="仿宋" w:hAnsi="仿宋" w:eastAsia="仿宋" w:cs="宋体"/>
                <w:color w:val="auto"/>
                <w:sz w:val="24"/>
                <w:highlight w:val="none"/>
                <w:lang w:val="en-US" w:eastAsia="zh-CN"/>
              </w:rPr>
              <w:t>7.3.2</w:t>
            </w:r>
          </w:p>
        </w:tc>
        <w:tc>
          <w:tcPr>
            <w:tcW w:w="8473" w:type="dxa"/>
            <w:gridSpan w:val="2"/>
            <w:vAlign w:val="center"/>
          </w:tcPr>
          <w:p>
            <w:pPr>
              <w:spacing w:line="400" w:lineRule="atLeast"/>
              <w:ind w:firstLine="480" w:firstLineChars="200"/>
              <w:rPr>
                <w:rFonts w:hint="eastAsia" w:ascii="仿宋_GB2312" w:hAnsi="仿宋_GB2312" w:eastAsia="仿宋_GB2312" w:cs="仿宋_GB2312"/>
                <w:color w:val="auto"/>
                <w:sz w:val="24"/>
                <w:highlight w:val="none"/>
              </w:rPr>
            </w:pPr>
            <w:r>
              <w:rPr>
                <w:rFonts w:hint="eastAsia" w:ascii="仿宋" w:hAnsi="仿宋" w:eastAsia="仿宋"/>
                <w:color w:val="auto"/>
                <w:sz w:val="24"/>
                <w:highlight w:val="none"/>
                <w:lang w:eastAsia="zh-CN"/>
              </w:rPr>
              <w:t>招标人删除此项。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10.2</w:t>
            </w:r>
          </w:p>
        </w:tc>
        <w:tc>
          <w:tcPr>
            <w:tcW w:w="8473" w:type="dxa"/>
            <w:gridSpan w:val="2"/>
            <w:vAlign w:val="center"/>
          </w:tcPr>
          <w:p>
            <w:pPr>
              <w:topLinePunct/>
              <w:spacing w:line="360" w:lineRule="exact"/>
              <w:ind w:left="-19" w:right="124" w:rightChars="59"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投标人须知正文10.2款内容修改如下：</w:t>
            </w:r>
          </w:p>
          <w:p>
            <w:pPr>
              <w:topLinePunct/>
              <w:spacing w:line="360" w:lineRule="exact"/>
              <w:ind w:left="-19" w:right="124" w:rightChars="59"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10.2信用等级分值的确定原则：采用中山市公路水运工程企业诚信管理平台中关于投标人开标当天的诚信等级确定其信用等级得分。如该平台上没有投标人诚信等级，则该投标人信用等级得分为0。</w:t>
            </w:r>
          </w:p>
          <w:p>
            <w:pPr>
              <w:spacing w:line="400" w:lineRule="atLeast"/>
              <w:ind w:firstLine="480" w:firstLineChars="200"/>
              <w:rPr>
                <w:rFonts w:hint="eastAsia" w:ascii="仿宋_GB2312" w:hAnsi="仿宋_GB2312" w:eastAsia="仿宋_GB2312" w:cs="仿宋_GB2312"/>
                <w:color w:val="auto"/>
                <w:sz w:val="24"/>
                <w:highlight w:val="none"/>
              </w:rPr>
            </w:pPr>
          </w:p>
        </w:tc>
      </w:tr>
    </w:tbl>
    <w:p>
      <w:pPr>
        <w:spacing w:line="360" w:lineRule="auto"/>
        <w:ind w:right="124" w:rightChars="59" w:firstLine="480" w:firstLineChars="200"/>
        <w:rPr>
          <w:rFonts w:hint="eastAsia" w:ascii="仿宋_GB2312" w:hAnsi="仿宋_GB2312" w:eastAsia="仿宋_GB2312" w:cs="仿宋_GB2312"/>
          <w:color w:val="auto"/>
          <w:sz w:val="24"/>
          <w:highlight w:val="none"/>
        </w:rPr>
      </w:pPr>
    </w:p>
    <w:p>
      <w:pPr>
        <w:adjustRightInd w:val="0"/>
        <w:snapToGrid w:val="0"/>
        <w:spacing w:line="400" w:lineRule="atLeast"/>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附录4  资格预审条件(信誉最低要求)增加“</w:t>
      </w:r>
      <w:r>
        <w:rPr>
          <w:rFonts w:hint="eastAsia" w:ascii="仿宋_GB2312" w:hAnsi="仿宋_GB2312" w:eastAsia="仿宋_GB2312" w:cs="仿宋_GB2312"/>
          <w:color w:val="auto"/>
          <w:sz w:val="24"/>
          <w:highlight w:val="none"/>
        </w:rPr>
        <w:t>投标人开标当天，在中山市公路水运工程企业诚信管理平台的诚信等级未被评为D级。</w:t>
      </w:r>
      <w:r>
        <w:rPr>
          <w:rFonts w:hint="eastAsia" w:ascii="仿宋_GB2312" w:hAnsi="仿宋_GB2312" w:eastAsia="仿宋_GB2312" w:cs="仿宋_GB2312"/>
          <w:bCs/>
          <w:color w:val="auto"/>
          <w:sz w:val="24"/>
          <w:highlight w:val="none"/>
        </w:rPr>
        <w:t>”表述</w:t>
      </w:r>
    </w:p>
    <w:p>
      <w:pPr>
        <w:pStyle w:val="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三、评标办法相应部分修改如下：</w:t>
      </w:r>
    </w:p>
    <w:tbl>
      <w:tblPr>
        <w:tblStyle w:val="10"/>
        <w:tblW w:w="966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9"/>
        <w:gridCol w:w="227"/>
        <w:gridCol w:w="1053"/>
        <w:gridCol w:w="73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89" w:type="dxa"/>
            <w:tcBorders>
              <w:top w:val="single" w:color="auto" w:sz="2" w:space="0"/>
              <w:left w:val="single" w:color="auto" w:sz="2" w:space="0"/>
              <w:bottom w:val="single" w:color="auto" w:sz="2" w:space="0"/>
              <w:right w:val="single" w:color="auto" w:sz="2" w:space="0"/>
            </w:tcBorders>
            <w:vAlign w:val="center"/>
          </w:tcPr>
          <w:p>
            <w:pPr>
              <w:spacing w:line="380" w:lineRule="atLeas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2.1.1</w:t>
            </w:r>
          </w:p>
          <w:p>
            <w:pPr>
              <w:spacing w:line="380" w:lineRule="atLeas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2.1.3</w:t>
            </w:r>
          </w:p>
        </w:tc>
        <w:tc>
          <w:tcPr>
            <w:tcW w:w="1280" w:type="dxa"/>
            <w:gridSpan w:val="2"/>
            <w:tcBorders>
              <w:top w:val="single" w:color="auto" w:sz="2" w:space="0"/>
              <w:left w:val="single" w:color="auto" w:sz="2" w:space="0"/>
              <w:bottom w:val="single" w:color="auto" w:sz="2" w:space="0"/>
              <w:right w:val="single" w:color="auto" w:sz="2" w:space="0"/>
            </w:tcBorders>
            <w:vAlign w:val="center"/>
          </w:tcPr>
          <w:p>
            <w:pPr>
              <w:spacing w:line="380" w:lineRule="atLeast"/>
              <w:jc w:val="center"/>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形式评审与响应性评审标准</w:t>
            </w:r>
          </w:p>
        </w:tc>
        <w:tc>
          <w:tcPr>
            <w:tcW w:w="7392" w:type="dxa"/>
            <w:tcBorders>
              <w:top w:val="single" w:color="auto" w:sz="2" w:space="0"/>
              <w:left w:val="single" w:color="auto" w:sz="2" w:space="0"/>
              <w:bottom w:val="single" w:color="auto" w:sz="2" w:space="0"/>
              <w:right w:val="single" w:color="auto" w:sz="2" w:space="0"/>
            </w:tcBorders>
            <w:vAlign w:val="center"/>
          </w:tcPr>
          <w:p>
            <w:pPr>
              <w:spacing w:line="340" w:lineRule="atLeast"/>
              <w:ind w:firstLine="480" w:firstLineChars="20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第一个信封（商务及技术文件）评审标准部分内容修改为：</w:t>
            </w:r>
          </w:p>
          <w:p>
            <w:pPr>
              <w:spacing w:line="340" w:lineRule="atLeast"/>
              <w:ind w:firstLine="480" w:firstLineChars="200"/>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（14）投标文件符合招标文件第二章“投标人须知”第3.7.4项规定。</w:t>
            </w:r>
          </w:p>
          <w:p>
            <w:pPr>
              <w:spacing w:line="400" w:lineRule="atLeast"/>
              <w:ind w:firstLine="480" w:firstLineChars="200"/>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rPr>
              <w:t>（16）至投标文件递交截止日，投标人提供没有因行贿犯罪而被人民法院判决、裁定生效的行为的查询记录有效。</w:t>
            </w:r>
            <w:r>
              <w:rPr>
                <w:rFonts w:hint="eastAsia" w:ascii="仿宋_GB2312" w:hAnsi="仿宋_GB2312" w:eastAsia="仿宋_GB2312" w:cs="仿宋_GB2312"/>
                <w:b w:val="0"/>
                <w:bCs w:val="0"/>
                <w:color w:val="auto"/>
                <w:sz w:val="24"/>
                <w:szCs w:val="24"/>
                <w:highlight w:val="none"/>
                <w:lang w:eastAsia="zh-CN"/>
              </w:rPr>
              <w:t>（不适用）</w:t>
            </w:r>
          </w:p>
          <w:p>
            <w:pPr>
              <w:spacing w:line="400" w:lineRule="atLeast"/>
              <w:ind w:firstLine="480" w:firstLineChars="20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第二个信封（报价文件）评审标准第（1）、（4）、（7）、（16）小点修改为：</w:t>
            </w:r>
          </w:p>
          <w:p>
            <w:pPr>
              <w:spacing w:line="400" w:lineRule="atLeast"/>
              <w:ind w:firstLine="480" w:firstLineChars="20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(1)投标文件按照招标文件规定的格式、内容填写，字迹清晰可辨：</w:t>
            </w:r>
          </w:p>
          <w:p>
            <w:pPr>
              <w:spacing w:line="400" w:lineRule="atLeast"/>
              <w:ind w:firstLine="480" w:firstLineChars="20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a.投标函按招标文件规定填报了项目名称、标段号、补遗书编号（如有）、投标总报价；</w:t>
            </w:r>
          </w:p>
          <w:p>
            <w:pPr>
              <w:spacing w:line="400" w:lineRule="atLeast"/>
              <w:ind w:firstLine="480" w:firstLineChars="20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b.已标价工程量清单说明文字与招标文件规定一致，未进行实质性修改和删减；</w:t>
            </w:r>
          </w:p>
          <w:p>
            <w:pPr>
              <w:pStyle w:val="15"/>
              <w:shd w:val="clear" w:color="auto" w:fill="auto"/>
              <w:tabs>
                <w:tab w:val="left" w:pos="973"/>
              </w:tabs>
              <w:spacing w:before="0" w:line="360" w:lineRule="auto"/>
              <w:ind w:firstLine="480" w:firstLineChars="200"/>
              <w:jc w:val="both"/>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c.投标文件组成齐全完整，内容均按规定填写。</w:t>
            </w:r>
          </w:p>
          <w:p>
            <w:pPr>
              <w:numPr>
                <w:ilvl w:val="0"/>
                <w:numId w:val="2"/>
              </w:numPr>
              <w:spacing w:line="400" w:lineRule="atLeast"/>
              <w:ind w:firstLine="480" w:firstLineChars="200"/>
              <w:rPr>
                <w:rFonts w:hint="eastAsia" w:ascii="仿宋_GB2312" w:hAnsi="仿宋_GB2312" w:eastAsia="仿宋_GB2312" w:cs="仿宋_GB2312"/>
                <w:b w:val="0"/>
                <w:bCs w:val="0"/>
                <w:color w:val="auto"/>
                <w:sz w:val="24"/>
                <w:szCs w:val="24"/>
                <w:highlight w:val="none"/>
                <w:lang w:val="zh-CN" w:eastAsia="zh-CN"/>
              </w:rPr>
            </w:pPr>
            <w:r>
              <w:rPr>
                <w:rFonts w:hint="eastAsia" w:ascii="仿宋_GB2312" w:hAnsi="仿宋_GB2312" w:eastAsia="仿宋_GB2312" w:cs="仿宋_GB2312"/>
                <w:b w:val="0"/>
                <w:bCs w:val="0"/>
                <w:color w:val="auto"/>
                <w:sz w:val="24"/>
                <w:szCs w:val="24"/>
                <w:highlight w:val="none"/>
                <w:lang w:val="zh-CN" w:eastAsia="zh-CN"/>
              </w:rPr>
              <w:t>投标报价或调价函中报价的大写金额能够确定具体数值。（不适用）</w:t>
            </w:r>
          </w:p>
          <w:p>
            <w:pPr>
              <w:spacing w:line="400" w:lineRule="atLeast"/>
              <w:ind w:firstLine="480" w:firstLineChars="20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（7）投标人若填写工程量固化清单，填写完毕的工程量固化清单未对工程量固化清单电子文件中的数据、格式和运算定义进行修改；</w:t>
            </w:r>
          </w:p>
          <w:p>
            <w:pPr>
              <w:spacing w:line="340" w:lineRule="atLeast"/>
              <w:ind w:firstLine="480" w:firstLineChars="200"/>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val="en-US" w:eastAsia="zh-CN"/>
              </w:rPr>
              <w:t>（8）</w:t>
            </w:r>
            <w:r>
              <w:rPr>
                <w:rFonts w:hint="eastAsia" w:ascii="仿宋_GB2312" w:hAnsi="仿宋_GB2312" w:eastAsia="仿宋_GB2312" w:cs="仿宋_GB2312"/>
                <w:b w:val="0"/>
                <w:bCs w:val="0"/>
                <w:color w:val="auto"/>
                <w:sz w:val="24"/>
                <w:szCs w:val="24"/>
                <w:highlight w:val="none"/>
              </w:rPr>
              <w:t>投标文件符合招标文件第二章“投标人须知”第3.7.4项规定。</w:t>
            </w:r>
          </w:p>
          <w:p>
            <w:pPr>
              <w:spacing w:line="400" w:lineRule="atLeast"/>
              <w:ind w:firstLine="480" w:firstLineChars="20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第二个信封（报价文件）评审标准增加第（9）、（10）小点：</w:t>
            </w:r>
          </w:p>
          <w:p>
            <w:pPr>
              <w:numPr>
                <w:ilvl w:val="0"/>
                <w:numId w:val="3"/>
              </w:numPr>
              <w:spacing w:line="400" w:lineRule="atLeast"/>
              <w:ind w:firstLine="480" w:firstLineChars="20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按照招标人要求的安全生产费、暂列金额（不含计日工总额）报价。（若有）</w:t>
            </w:r>
          </w:p>
          <w:p>
            <w:pPr>
              <w:numPr>
                <w:ilvl w:val="0"/>
                <w:numId w:val="3"/>
              </w:numPr>
              <w:spacing w:line="400" w:lineRule="atLeast"/>
              <w:ind w:firstLine="480" w:firstLineChars="20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投标材料报价合理性符合要求；（若招标人选择设置）</w:t>
            </w:r>
          </w:p>
          <w:p>
            <w:pPr>
              <w:spacing w:line="360" w:lineRule="atLeast"/>
              <w:ind w:firstLine="480" w:firstLineChars="200"/>
              <w:rPr>
                <w:rFonts w:hint="eastAsia" w:ascii="仿宋_GB2312" w:hAnsi="仿宋_GB2312" w:eastAsia="仿宋_GB2312" w:cs="仿宋_GB2312"/>
                <w:b w:val="0"/>
                <w:bCs w:val="0"/>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89" w:type="dxa"/>
            <w:tcBorders>
              <w:top w:val="single" w:color="auto" w:sz="2" w:space="0"/>
              <w:left w:val="single" w:color="auto" w:sz="2" w:space="0"/>
              <w:bottom w:val="single" w:color="auto" w:sz="2" w:space="0"/>
              <w:right w:val="single" w:color="auto" w:sz="2" w:space="0"/>
            </w:tcBorders>
            <w:vAlign w:val="center"/>
          </w:tcPr>
          <w:p>
            <w:pPr>
              <w:spacing w:line="380" w:lineRule="atLeast"/>
              <w:jc w:val="center"/>
              <w:rPr>
                <w:rFonts w:hint="eastAsia" w:ascii="仿宋_GB2312" w:hAnsi="仿宋_GB2312" w:eastAsia="仿宋_GB2312" w:cs="仿宋_GB2312"/>
                <w:color w:val="auto"/>
                <w:sz w:val="24"/>
                <w:highlight w:val="none"/>
              </w:rPr>
            </w:pPr>
            <w:r>
              <w:rPr>
                <w:rFonts w:hint="eastAsia" w:ascii="仿宋" w:hAnsi="仿宋" w:eastAsia="仿宋"/>
                <w:color w:val="auto"/>
                <w:sz w:val="24"/>
                <w:highlight w:val="none"/>
                <w:lang w:val="en-US" w:eastAsia="zh-CN"/>
              </w:rPr>
              <w:t>2.1.2</w:t>
            </w:r>
          </w:p>
        </w:tc>
        <w:tc>
          <w:tcPr>
            <w:tcW w:w="1280" w:type="dxa"/>
            <w:gridSpan w:val="2"/>
            <w:tcBorders>
              <w:top w:val="single" w:color="auto" w:sz="2" w:space="0"/>
              <w:left w:val="single" w:color="auto" w:sz="2" w:space="0"/>
              <w:bottom w:val="single" w:color="auto" w:sz="2" w:space="0"/>
              <w:right w:val="single" w:color="auto" w:sz="2" w:space="0"/>
            </w:tcBorders>
            <w:vAlign w:val="center"/>
          </w:tcPr>
          <w:p>
            <w:pPr>
              <w:spacing w:line="380" w:lineRule="atLeast"/>
              <w:jc w:val="center"/>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eastAsia="zh-CN"/>
              </w:rPr>
              <w:t>资格评审标准</w:t>
            </w:r>
          </w:p>
        </w:tc>
        <w:tc>
          <w:tcPr>
            <w:tcW w:w="7392" w:type="dxa"/>
            <w:tcBorders>
              <w:top w:val="single" w:color="auto" w:sz="2" w:space="0"/>
              <w:left w:val="single" w:color="auto" w:sz="2" w:space="0"/>
              <w:bottom w:val="single" w:color="auto" w:sz="2" w:space="0"/>
              <w:right w:val="single" w:color="auto" w:sz="2" w:space="0"/>
            </w:tcBorders>
            <w:vAlign w:val="center"/>
          </w:tcPr>
          <w:p>
            <w:pPr>
              <w:widowControl w:val="0"/>
              <w:numPr>
                <w:ilvl w:val="-1"/>
                <w:numId w:val="0"/>
              </w:numPr>
              <w:spacing w:line="240" w:lineRule="auto"/>
              <w:ind w:firstLine="480" w:firstLineChars="200"/>
              <w:jc w:val="both"/>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第二个信封（报价文件）评审标准（6）修改为：</w:t>
            </w:r>
          </w:p>
          <w:p>
            <w:pPr>
              <w:spacing w:line="240" w:lineRule="auto"/>
              <w:ind w:firstLine="480" w:firstLineChars="20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（6）投标人的项目经理和项目总工资格（均含备选，如有）、在岗情况符合招标文件规定，并按规定在投标文件中签字确认；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9661" w:type="dxa"/>
            <w:gridSpan w:val="4"/>
            <w:tcBorders>
              <w:top w:val="single" w:color="auto" w:sz="2" w:space="0"/>
              <w:left w:val="single" w:color="auto" w:sz="2" w:space="0"/>
              <w:bottom w:val="single" w:color="auto" w:sz="2" w:space="0"/>
              <w:right w:val="single" w:color="auto" w:sz="2" w:space="0"/>
            </w:tcBorders>
            <w:vAlign w:val="center"/>
          </w:tcPr>
          <w:p>
            <w:pPr>
              <w:spacing w:line="320" w:lineRule="exact"/>
              <w:ind w:firstLine="360" w:firstLineChars="150"/>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34" w:hRule="atLeast"/>
        </w:trPr>
        <w:tc>
          <w:tcPr>
            <w:tcW w:w="1216"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3.2</w:t>
            </w:r>
          </w:p>
        </w:tc>
        <w:tc>
          <w:tcPr>
            <w:tcW w:w="8445" w:type="dxa"/>
            <w:gridSpan w:val="2"/>
            <w:tcBorders>
              <w:top w:val="single" w:color="auto" w:sz="2" w:space="0"/>
              <w:left w:val="single" w:color="auto" w:sz="2" w:space="0"/>
              <w:bottom w:val="single" w:color="auto" w:sz="2" w:space="0"/>
              <w:right w:val="single" w:color="auto" w:sz="2" w:space="0"/>
            </w:tcBorders>
            <w:vAlign w:val="center"/>
          </w:tcPr>
          <w:p>
            <w:pPr>
              <w:spacing w:line="400" w:lineRule="atLeast"/>
              <w:ind w:firstLine="480" w:firstLineChars="20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评标办法正文3.2项内容修改为：</w:t>
            </w:r>
          </w:p>
          <w:p>
            <w:pPr>
              <w:spacing w:line="400" w:lineRule="atLeast"/>
              <w:ind w:firstLine="480" w:firstLineChars="20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3.2第二个信封开标及计算机辅助评审</w:t>
            </w:r>
          </w:p>
          <w:p>
            <w:pPr>
              <w:spacing w:line="400" w:lineRule="atLeast"/>
              <w:ind w:firstLine="480" w:firstLineChars="20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3.2.1第一个信封（商务及技术文件）评审结束后，招标人将按照第二章“投标人须知”第5.1款规定的时间和地点对通过投标文件第一个信封（商务与技术文件）评审的投标文件第二个信封（报价文件）进行开标。</w:t>
            </w:r>
          </w:p>
          <w:p>
            <w:pPr>
              <w:pStyle w:val="4"/>
              <w:numPr>
                <w:ilvl w:val="0"/>
                <w:numId w:val="0"/>
              </w:numPr>
              <w:tabs>
                <w:tab w:val="left" w:pos="576"/>
                <w:tab w:val="clear" w:pos="720"/>
              </w:tabs>
              <w:ind w:firstLine="480" w:firstLineChars="200"/>
              <w:outlineLvl w:val="2"/>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3.2.2 计算机辅助评审</w:t>
            </w:r>
          </w:p>
          <w:p>
            <w:pPr>
              <w:spacing w:line="400" w:lineRule="atLeast"/>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1、在第二信封开启后，</w:t>
            </w:r>
            <w:r>
              <w:rPr>
                <w:rFonts w:hint="eastAsia" w:ascii="仿宋_GB2312" w:hAnsi="仿宋_GB2312" w:eastAsia="仿宋_GB2312" w:cs="仿宋_GB2312"/>
                <w:color w:val="auto"/>
                <w:sz w:val="24"/>
                <w:highlight w:val="none"/>
                <w:lang w:eastAsia="zh-CN"/>
              </w:rPr>
              <w:t>计算机辅助评标系统</w:t>
            </w:r>
            <w:r>
              <w:rPr>
                <w:rFonts w:hint="eastAsia" w:ascii="仿宋_GB2312" w:hAnsi="仿宋_GB2312" w:eastAsia="仿宋_GB2312" w:cs="仿宋_GB2312"/>
                <w:color w:val="auto"/>
                <w:sz w:val="24"/>
                <w:highlight w:val="none"/>
                <w:lang w:val="en-US" w:eastAsia="zh-CN"/>
              </w:rPr>
              <w:t>对相应内容进行检查，清标事项如表1所示，若</w:t>
            </w:r>
            <w:r>
              <w:rPr>
                <w:rFonts w:hint="eastAsia" w:ascii="仿宋_GB2312" w:hAnsi="仿宋_GB2312" w:eastAsia="仿宋_GB2312" w:cs="仿宋_GB2312"/>
                <w:color w:val="auto"/>
                <w:sz w:val="24"/>
                <w:highlight w:val="none"/>
                <w:lang w:eastAsia="zh-CN"/>
              </w:rPr>
              <w:t>计算机辅助评标系统</w:t>
            </w:r>
            <w:r>
              <w:rPr>
                <w:rFonts w:hint="eastAsia" w:ascii="仿宋_GB2312" w:hAnsi="仿宋_GB2312" w:eastAsia="仿宋_GB2312" w:cs="仿宋_GB2312"/>
                <w:color w:val="auto"/>
                <w:sz w:val="24"/>
                <w:highlight w:val="none"/>
                <w:lang w:val="en-US" w:eastAsia="zh-CN"/>
              </w:rPr>
              <w:t>检测出投标文件网卡地址、硬盘序列号、软件序列号等特征码存在与其他投标文件一致的情况，则视为对应投标人涉嫌采用同一电脑或同一个软件编制，其投标将被否决，不得通过清标环节，若符合性检查项或一致性检查项与招标文件提供的清单不一致，由系统提醒评委，并由评委根据招标文件要求进行评审。若雷同性检查项目发现相关报价有特定规律，由系统提醒评委，由评标委员会判断是否涉及围标串标。</w:t>
            </w:r>
          </w:p>
          <w:p>
            <w:pPr>
              <w:spacing w:line="400" w:lineRule="atLeast"/>
              <w:ind w:firstLine="64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bidi="ar-SA"/>
              </w:rPr>
              <w:t xml:space="preserve">            </w:t>
            </w:r>
            <w:r>
              <w:rPr>
                <w:rFonts w:hint="eastAsia" w:ascii="仿宋_GB2312" w:hAnsi="仿宋_GB2312" w:eastAsia="仿宋_GB2312" w:cs="仿宋_GB2312"/>
                <w:color w:val="auto"/>
                <w:sz w:val="24"/>
                <w:highlight w:val="none"/>
                <w:lang w:val="en-US" w:eastAsia="zh-CN"/>
              </w:rPr>
              <w:t xml:space="preserve"> 表1 计算机辅助评标系统清标事项</w:t>
            </w:r>
          </w:p>
          <w:tbl>
            <w:tblPr>
              <w:tblStyle w:val="10"/>
              <w:tblpPr w:leftFromText="180" w:rightFromText="180" w:vertAnchor="text" w:horzAnchor="page" w:tblpX="334" w:tblpY="139"/>
              <w:tblOverlap w:val="never"/>
              <w:tblW w:w="7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884"/>
              <w:gridCol w:w="1711"/>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627"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号</w:t>
                  </w:r>
                </w:p>
              </w:tc>
              <w:tc>
                <w:tcPr>
                  <w:tcW w:w="884"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清标事项</w:t>
                  </w:r>
                </w:p>
              </w:tc>
              <w:tc>
                <w:tcPr>
                  <w:tcW w:w="1711" w:type="dxa"/>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检查内容</w:t>
                  </w:r>
                </w:p>
              </w:tc>
              <w:tc>
                <w:tcPr>
                  <w:tcW w:w="4410" w:type="dxa"/>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627"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w:t>
                  </w:r>
                </w:p>
              </w:tc>
              <w:tc>
                <w:tcPr>
                  <w:tcW w:w="884" w:type="dxa"/>
                  <w:vMerge w:val="restart"/>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特征码检测</w:t>
                  </w:r>
                </w:p>
              </w:tc>
              <w:tc>
                <w:tcPr>
                  <w:tcW w:w="1711" w:type="dxa"/>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网卡地址</w:t>
                  </w:r>
                </w:p>
              </w:tc>
              <w:tc>
                <w:tcPr>
                  <w:tcW w:w="4410"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是否与其它投标文件有相同情况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27"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2</w:t>
                  </w:r>
                </w:p>
              </w:tc>
              <w:tc>
                <w:tcPr>
                  <w:tcW w:w="884" w:type="dxa"/>
                  <w:vMerge w:val="continue"/>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p>
              </w:tc>
              <w:tc>
                <w:tcPr>
                  <w:tcW w:w="1711" w:type="dxa"/>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硬盘序列号</w:t>
                  </w:r>
                </w:p>
              </w:tc>
              <w:tc>
                <w:tcPr>
                  <w:tcW w:w="4410"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是否与其它投标文件有相同情况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27"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3</w:t>
                  </w:r>
                </w:p>
              </w:tc>
              <w:tc>
                <w:tcPr>
                  <w:tcW w:w="884" w:type="dxa"/>
                  <w:vMerge w:val="continue"/>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p>
              </w:tc>
              <w:tc>
                <w:tcPr>
                  <w:tcW w:w="1711" w:type="dxa"/>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软件序列号</w:t>
                  </w:r>
                </w:p>
              </w:tc>
              <w:tc>
                <w:tcPr>
                  <w:tcW w:w="4410"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是否与其它投标文件有相同情况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27"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4</w:t>
                  </w:r>
                </w:p>
              </w:tc>
              <w:tc>
                <w:tcPr>
                  <w:tcW w:w="884" w:type="dxa"/>
                  <w:vMerge w:val="restart"/>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符合性检查项</w:t>
                  </w:r>
                </w:p>
              </w:tc>
              <w:tc>
                <w:tcPr>
                  <w:tcW w:w="1711" w:type="dxa"/>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清单编码</w:t>
                  </w:r>
                </w:p>
              </w:tc>
              <w:tc>
                <w:tcPr>
                  <w:tcW w:w="4410" w:type="dxa"/>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是否和招标文件内容一致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27"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5</w:t>
                  </w:r>
                </w:p>
              </w:tc>
              <w:tc>
                <w:tcPr>
                  <w:tcW w:w="884" w:type="dxa"/>
                  <w:vMerge w:val="continue"/>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p>
              </w:tc>
              <w:tc>
                <w:tcPr>
                  <w:tcW w:w="1711" w:type="dxa"/>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清单名称</w:t>
                  </w:r>
                </w:p>
              </w:tc>
              <w:tc>
                <w:tcPr>
                  <w:tcW w:w="4410" w:type="dxa"/>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是否和招标文件内容一致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27"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6</w:t>
                  </w:r>
                </w:p>
              </w:tc>
              <w:tc>
                <w:tcPr>
                  <w:tcW w:w="884" w:type="dxa"/>
                  <w:vMerge w:val="continue"/>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p>
              </w:tc>
              <w:tc>
                <w:tcPr>
                  <w:tcW w:w="1711" w:type="dxa"/>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计量单位</w:t>
                  </w:r>
                </w:p>
              </w:tc>
              <w:tc>
                <w:tcPr>
                  <w:tcW w:w="4410" w:type="dxa"/>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是否和招标文件内容一致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27"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7</w:t>
                  </w:r>
                </w:p>
              </w:tc>
              <w:tc>
                <w:tcPr>
                  <w:tcW w:w="884" w:type="dxa"/>
                  <w:vMerge w:val="continue"/>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p>
              </w:tc>
              <w:tc>
                <w:tcPr>
                  <w:tcW w:w="1711" w:type="dxa"/>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清单工程量</w:t>
                  </w:r>
                </w:p>
              </w:tc>
              <w:tc>
                <w:tcPr>
                  <w:tcW w:w="4410" w:type="dxa"/>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是否和招标文件内容一致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27"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8</w:t>
                  </w:r>
                </w:p>
              </w:tc>
              <w:tc>
                <w:tcPr>
                  <w:tcW w:w="884" w:type="dxa"/>
                  <w:vMerge w:val="continue"/>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p>
              </w:tc>
              <w:tc>
                <w:tcPr>
                  <w:tcW w:w="1711" w:type="dxa"/>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漏项、增项</w:t>
                  </w:r>
                </w:p>
              </w:tc>
              <w:tc>
                <w:tcPr>
                  <w:tcW w:w="4410" w:type="dxa"/>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是否和招标文件内容一致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27"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9</w:t>
                  </w:r>
                </w:p>
              </w:tc>
              <w:tc>
                <w:tcPr>
                  <w:tcW w:w="884" w:type="dxa"/>
                  <w:vMerge w:val="restart"/>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一致性检查项</w:t>
                  </w:r>
                </w:p>
              </w:tc>
              <w:tc>
                <w:tcPr>
                  <w:tcW w:w="1711" w:type="dxa"/>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清单合价</w:t>
                  </w:r>
                </w:p>
              </w:tc>
              <w:tc>
                <w:tcPr>
                  <w:tcW w:w="4410" w:type="dxa"/>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清单单价*清单工程量计算是否正确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27"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10</w:t>
                  </w:r>
                </w:p>
              </w:tc>
              <w:tc>
                <w:tcPr>
                  <w:tcW w:w="884" w:type="dxa"/>
                  <w:vMerge w:val="continue"/>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p>
              </w:tc>
              <w:tc>
                <w:tcPr>
                  <w:tcW w:w="1711"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第100章至900章清单合计</w:t>
                  </w:r>
                </w:p>
              </w:tc>
              <w:tc>
                <w:tcPr>
                  <w:tcW w:w="4410"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投标报价第100章至900章清单合计数是否正确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627"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11</w:t>
                  </w:r>
                </w:p>
              </w:tc>
              <w:tc>
                <w:tcPr>
                  <w:tcW w:w="884" w:type="dxa"/>
                  <w:vMerge w:val="continue"/>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p>
              </w:tc>
              <w:tc>
                <w:tcPr>
                  <w:tcW w:w="1711" w:type="dxa"/>
                  <w:vAlign w:val="center"/>
                </w:tcPr>
                <w:p>
                  <w:pPr>
                    <w:spacing w:line="400" w:lineRule="atLeast"/>
                    <w:ind w:firstLine="420" w:firstLineChars="200"/>
                    <w:jc w:val="both"/>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投标报价</w:t>
                  </w:r>
                </w:p>
              </w:tc>
              <w:tc>
                <w:tcPr>
                  <w:tcW w:w="4410"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投标报价的第100章至900章清单合计+计日工合计+暂列金额（不含计日工总额）计算是否正确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trPr>
              <w:tc>
                <w:tcPr>
                  <w:tcW w:w="627"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12</w:t>
                  </w:r>
                </w:p>
              </w:tc>
              <w:tc>
                <w:tcPr>
                  <w:tcW w:w="884"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雷同性检查项</w:t>
                  </w:r>
                </w:p>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p>
              </w:tc>
              <w:tc>
                <w:tcPr>
                  <w:tcW w:w="1711"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系统会对投标价、已标价工程量清单内容进行局部检查验算</w:t>
                  </w:r>
                </w:p>
              </w:tc>
              <w:tc>
                <w:tcPr>
                  <w:tcW w:w="4410"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若有规律，将推送给评标委员会，由评标委员会判断是否涉及围标串标。</w:t>
                  </w:r>
                </w:p>
              </w:tc>
            </w:tr>
          </w:tbl>
          <w:p>
            <w:pPr>
              <w:spacing w:line="400" w:lineRule="atLeast"/>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2、报价合理性评审环节</w:t>
            </w:r>
          </w:p>
          <w:p>
            <w:pPr>
              <w:spacing w:line="400" w:lineRule="atLeast"/>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（1）招标人可以进行选取《广东省交通运输厅关于印发我省交通建设项目材料价差调整指导性意见的通知》（粤交基函〔2019〕1302 号）附件里的“公路工程可调差的主要材料一览表”涉及的材料作为主要材料评审，当投标人清单报价对应材料内容超出审定清单单价的xx%-xx%（由招标人确定）, 由计算机辅助评标系统对评委给出提醒。若投标人报价中材料费超出公布的警戒上限或下限，投标人应主动在投标文件附上相关的分析证明材料（在投标文件中必须附上材料供应商的供货承诺书,承诺书中需具体说明材料等级、数量、生产厂家名称、供应商名称、营业执照、生产许可证（仅限需生产许可证的部分材料）及联系电话，或提供投标人或供应商以往购买或销售同类材料相近价格的购销发票），若无提供相关材料或评标委员会认为其提供的分析证明材料无法解析其合理性的，可以否决其投标。</w:t>
            </w:r>
          </w:p>
          <w:p>
            <w:pPr>
              <w:spacing w:line="400" w:lineRule="atLeast"/>
              <w:ind w:firstLine="1200" w:firstLineChars="5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表2 施工招标投标报价材料报价合理性评审数据表</w:t>
            </w:r>
          </w:p>
          <w:p>
            <w:pPr>
              <w:spacing w:line="400" w:lineRule="atLeast"/>
              <w:ind w:firstLine="1920" w:firstLineChars="800"/>
              <w:rPr>
                <w:rFonts w:hint="eastAsia" w:ascii="仿宋_GB2312" w:hAnsi="仿宋_GB2312" w:eastAsia="仿宋_GB2312" w:cs="仿宋_GB2312"/>
                <w:i/>
                <w:iCs/>
                <w:color w:val="auto"/>
                <w:sz w:val="24"/>
                <w:highlight w:val="none"/>
                <w:lang w:val="en-US" w:eastAsia="zh-CN"/>
              </w:rPr>
            </w:pPr>
            <w:r>
              <w:rPr>
                <w:rFonts w:hint="eastAsia" w:ascii="仿宋_GB2312" w:hAnsi="仿宋_GB2312" w:eastAsia="仿宋_GB2312" w:cs="仿宋_GB2312"/>
                <w:i/>
                <w:iCs/>
                <w:color w:val="auto"/>
                <w:sz w:val="24"/>
                <w:highlight w:val="none"/>
                <w:lang w:val="en-US" w:eastAsia="zh-CN"/>
              </w:rPr>
              <w:t>（示例，具体由招标人确定）</w:t>
            </w:r>
          </w:p>
          <w:p>
            <w:pPr>
              <w:ind w:firstLine="720" w:firstLineChars="3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工程名称：：</w:t>
            </w:r>
            <w:r>
              <w:rPr>
                <w:rFonts w:hint="eastAsia" w:ascii="仿宋_GB2312" w:hAnsi="仿宋_GB2312" w:eastAsia="仿宋_GB2312" w:cs="仿宋_GB2312"/>
                <w:color w:val="auto"/>
                <w:sz w:val="24"/>
                <w:highlight w:val="none"/>
                <w:lang w:val="en-US" w:eastAsia="zh-CN"/>
              </w:rPr>
              <w:t>xxx</w:t>
            </w:r>
            <w:r>
              <w:rPr>
                <w:rFonts w:hint="eastAsia" w:ascii="仿宋_GB2312" w:hAnsi="仿宋_GB2312" w:eastAsia="仿宋_GB2312" w:cs="仿宋_GB2312"/>
                <w:color w:val="auto"/>
                <w:sz w:val="24"/>
                <w:highlight w:val="none"/>
              </w:rPr>
              <w:t>工程</w:t>
            </w:r>
          </w:p>
          <w:tbl>
            <w:tblPr>
              <w:tblStyle w:val="10"/>
              <w:tblpPr w:leftFromText="180" w:rightFromText="180" w:vertAnchor="text" w:horzAnchor="page" w:tblpX="393" w:tblpY="249"/>
              <w:tblOverlap w:val="never"/>
              <w:tblW w:w="74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54"/>
              <w:gridCol w:w="690"/>
              <w:gridCol w:w="1005"/>
              <w:gridCol w:w="930"/>
              <w:gridCol w:w="1005"/>
              <w:gridCol w:w="975"/>
              <w:gridCol w:w="990"/>
              <w:gridCol w:w="1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序号</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材料编码</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名称</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单位</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代号</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基准：预算单价(元)</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警戒上限</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警戒下限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xxx</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型钢</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t</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2003004</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仿宋_GB2312" w:hAnsi="仿宋_GB2312" w:eastAsia="仿宋_GB2312" w:cs="仿宋_GB2312"/>
                      <w:i w:val="0"/>
                      <w:color w:val="auto"/>
                      <w:kern w:val="0"/>
                      <w:sz w:val="21"/>
                      <w:szCs w:val="21"/>
                      <w:highlight w:val="none"/>
                      <w:u w:val="none"/>
                      <w:lang w:val="en-US" w:eastAsia="zh-CN" w:bidi="ar"/>
                    </w:rPr>
                    <w:t>xxx</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120%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xxx</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钢板</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t</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2003005</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xxx</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120%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xxx</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中(粗)砂</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m3</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5503005</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xxx</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120%</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80%</w:t>
                  </w:r>
                </w:p>
              </w:tc>
            </w:tr>
          </w:tbl>
          <w:p>
            <w:pPr>
              <w:spacing w:line="400" w:lineRule="atLeast"/>
              <w:ind w:firstLine="480" w:firstLineChars="200"/>
              <w:rPr>
                <w:rFonts w:hint="eastAsia" w:ascii="仿宋_GB2312" w:hAnsi="仿宋_GB2312" w:eastAsia="仿宋_GB2312" w:cs="仿宋_GB2312"/>
                <w:color w:val="auto"/>
                <w:sz w:val="24"/>
                <w:highlight w:val="none"/>
                <w:lang w:val="en-US" w:eastAsia="zh-CN"/>
              </w:rPr>
            </w:pPr>
          </w:p>
          <w:p>
            <w:pPr>
              <w:spacing w:line="400" w:lineRule="atLeast"/>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 xml:space="preserve">注：投标人的电子报价文件上述材料的“材料编码”必须与本表中“材料编码”一致，否则导致评审不通过的，后果自负。 </w:t>
            </w:r>
          </w:p>
          <w:p>
            <w:pPr>
              <w:spacing w:line="400" w:lineRule="atLeast"/>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（2）投标报价高于最高投标限价，或投标报价高于最高评标限价，或投标报价低于最高评标限价85%，由计算机辅助评标系统对评委给出提醒。</w:t>
            </w:r>
          </w:p>
          <w:p>
            <w:pPr>
              <w:spacing w:line="400" w:lineRule="atLeast"/>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（3）投标报价没有按照招标文件对于暂列金额（不含计日工）、安全生产费投标文件的要求报价，由计算机辅助评标系统评委给出提醒。</w:t>
            </w:r>
          </w:p>
          <w:p>
            <w:pPr>
              <w:spacing w:line="400" w:lineRule="atLeast"/>
              <w:ind w:firstLine="1440" w:firstLineChars="600"/>
              <w:jc w:val="both"/>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表3 施工招标投标报价合理性评审数据表</w:t>
            </w:r>
          </w:p>
          <w:p>
            <w:pPr>
              <w:spacing w:line="400" w:lineRule="atLeast"/>
              <w:ind w:firstLine="1920" w:firstLineChars="800"/>
              <w:rPr>
                <w:rFonts w:hint="eastAsia" w:ascii="仿宋_GB2312" w:hAnsi="仿宋_GB2312" w:eastAsia="仿宋_GB2312" w:cs="仿宋_GB2312"/>
                <w:i/>
                <w:iCs/>
                <w:color w:val="auto"/>
                <w:sz w:val="24"/>
                <w:highlight w:val="none"/>
                <w:lang w:val="en-US" w:eastAsia="zh-CN"/>
              </w:rPr>
            </w:pPr>
            <w:r>
              <w:rPr>
                <w:rFonts w:hint="eastAsia" w:ascii="仿宋_GB2312" w:hAnsi="仿宋_GB2312" w:eastAsia="仿宋_GB2312" w:cs="仿宋_GB2312"/>
                <w:i/>
                <w:iCs/>
                <w:color w:val="auto"/>
                <w:sz w:val="24"/>
                <w:highlight w:val="none"/>
                <w:lang w:val="en-US" w:eastAsia="zh-CN"/>
              </w:rPr>
              <w:t>（示例，具体由招标人确定）</w:t>
            </w:r>
          </w:p>
          <w:p>
            <w:pPr>
              <w:spacing w:line="400" w:lineRule="atLeast"/>
              <w:ind w:firstLine="480" w:firstLineChars="200"/>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工程名称：xxx工程</w:t>
            </w:r>
          </w:p>
          <w:tbl>
            <w:tblPr>
              <w:tblStyle w:val="10"/>
              <w:tblW w:w="7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971"/>
              <w:gridCol w:w="1050"/>
              <w:gridCol w:w="1515"/>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40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序号</w:t>
                  </w:r>
                </w:p>
              </w:tc>
              <w:tc>
                <w:tcPr>
                  <w:tcW w:w="971" w:type="dxa"/>
                  <w:vAlign w:val="center"/>
                </w:tcPr>
                <w:p>
                  <w:pPr>
                    <w:spacing w:line="40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评审指标</w:t>
                  </w:r>
                </w:p>
              </w:tc>
              <w:tc>
                <w:tcPr>
                  <w:tcW w:w="1050" w:type="dxa"/>
                  <w:vAlign w:val="center"/>
                </w:tcPr>
                <w:p>
                  <w:pPr>
                    <w:spacing w:line="40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评定标准</w:t>
                  </w:r>
                </w:p>
              </w:tc>
              <w:tc>
                <w:tcPr>
                  <w:tcW w:w="1515" w:type="dxa"/>
                  <w:vAlign w:val="center"/>
                </w:tcPr>
                <w:p>
                  <w:pPr>
                    <w:spacing w:line="400" w:lineRule="atLeas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评定标准值（元）</w:t>
                  </w:r>
                </w:p>
              </w:tc>
              <w:tc>
                <w:tcPr>
                  <w:tcW w:w="3525" w:type="dxa"/>
                  <w:vAlign w:val="center"/>
                </w:tcPr>
                <w:p>
                  <w:pPr>
                    <w:spacing w:line="400" w:lineRule="atLeast"/>
                    <w:ind w:firstLine="480" w:firstLineChars="20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w:t>
                  </w:r>
                </w:p>
              </w:tc>
              <w:tc>
                <w:tcPr>
                  <w:tcW w:w="971"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最高投标限价</w:t>
                  </w:r>
                </w:p>
              </w:tc>
              <w:tc>
                <w:tcPr>
                  <w:tcW w:w="1050"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小于或等于</w:t>
                  </w:r>
                </w:p>
              </w:tc>
              <w:tc>
                <w:tcPr>
                  <w:tcW w:w="1515"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xxx</w:t>
                  </w:r>
                </w:p>
              </w:tc>
              <w:tc>
                <w:tcPr>
                  <w:tcW w:w="3525" w:type="dxa"/>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2</w:t>
                  </w:r>
                </w:p>
              </w:tc>
              <w:tc>
                <w:tcPr>
                  <w:tcW w:w="971"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最高评标限价</w:t>
                  </w:r>
                </w:p>
              </w:tc>
              <w:tc>
                <w:tcPr>
                  <w:tcW w:w="1050"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小于或等于</w:t>
                  </w:r>
                </w:p>
              </w:tc>
              <w:tc>
                <w:tcPr>
                  <w:tcW w:w="1515"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按招标文件要求确定标准</w:t>
                  </w:r>
                </w:p>
              </w:tc>
              <w:tc>
                <w:tcPr>
                  <w:tcW w:w="3525" w:type="dxa"/>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834"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3</w:t>
                  </w:r>
                </w:p>
              </w:tc>
              <w:tc>
                <w:tcPr>
                  <w:tcW w:w="971"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最高评标限价85%</w:t>
                  </w:r>
                </w:p>
              </w:tc>
              <w:tc>
                <w:tcPr>
                  <w:tcW w:w="1050"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大于</w:t>
                  </w:r>
                </w:p>
              </w:tc>
              <w:tc>
                <w:tcPr>
                  <w:tcW w:w="1515"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按招标文件要求确定标准</w:t>
                  </w:r>
                </w:p>
              </w:tc>
              <w:tc>
                <w:tcPr>
                  <w:tcW w:w="3525"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若投标人报价小于最高评标限价85%，评标委员会需要判定其是否低于成本报价竞标，若评标委员会认定投标人以低于成本价竞标，否决其投标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834" w:type="dxa"/>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4</w:t>
                  </w:r>
                </w:p>
              </w:tc>
              <w:tc>
                <w:tcPr>
                  <w:tcW w:w="971"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安全生产费</w:t>
                  </w:r>
                </w:p>
              </w:tc>
              <w:tc>
                <w:tcPr>
                  <w:tcW w:w="1050"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大于或等于</w:t>
                  </w:r>
                </w:p>
              </w:tc>
              <w:tc>
                <w:tcPr>
                  <w:tcW w:w="1515"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xxx</w:t>
                  </w:r>
                </w:p>
              </w:tc>
              <w:tc>
                <w:tcPr>
                  <w:tcW w:w="3525" w:type="dxa"/>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5</w:t>
                  </w:r>
                </w:p>
              </w:tc>
              <w:tc>
                <w:tcPr>
                  <w:tcW w:w="971"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暂列金额（不含计日工）（若有）</w:t>
                  </w:r>
                </w:p>
              </w:tc>
              <w:tc>
                <w:tcPr>
                  <w:tcW w:w="1050"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一致</w:t>
                  </w:r>
                </w:p>
              </w:tc>
              <w:tc>
                <w:tcPr>
                  <w:tcW w:w="1515" w:type="dxa"/>
                  <w:vAlign w:val="center"/>
                </w:tcPr>
                <w:p>
                  <w:pPr>
                    <w:spacing w:line="400" w:lineRule="atLeas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xxx</w:t>
                  </w:r>
                </w:p>
              </w:tc>
              <w:tc>
                <w:tcPr>
                  <w:tcW w:w="3525" w:type="dxa"/>
                  <w:vAlign w:val="center"/>
                </w:tcPr>
                <w:p>
                  <w:pPr>
                    <w:spacing w:line="400" w:lineRule="atLeast"/>
                    <w:ind w:firstLine="420" w:firstLineChars="200"/>
                    <w:jc w:val="center"/>
                    <w:rPr>
                      <w:rFonts w:hint="eastAsia" w:ascii="仿宋_GB2312" w:hAnsi="仿宋_GB2312" w:eastAsia="仿宋_GB2312" w:cs="仿宋_GB2312"/>
                      <w:color w:val="auto"/>
                      <w:sz w:val="21"/>
                      <w:szCs w:val="21"/>
                      <w:highlight w:val="none"/>
                      <w:lang w:val="en-US" w:eastAsia="zh-CN"/>
                    </w:rPr>
                  </w:pPr>
                </w:p>
              </w:tc>
            </w:tr>
          </w:tbl>
          <w:p>
            <w:pPr>
              <w:spacing w:line="420" w:lineRule="exact"/>
              <w:ind w:firstLine="480" w:firstLineChars="200"/>
              <w:rPr>
                <w:rFonts w:hint="eastAsia" w:ascii="仿宋_GB2312" w:hAnsi="仿宋_GB2312" w:eastAsia="仿宋_GB2312" w:cs="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216"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3.4.1</w:t>
            </w:r>
          </w:p>
        </w:tc>
        <w:tc>
          <w:tcPr>
            <w:tcW w:w="8445" w:type="dxa"/>
            <w:gridSpan w:val="2"/>
            <w:tcBorders>
              <w:top w:val="single" w:color="auto" w:sz="2" w:space="0"/>
              <w:left w:val="single" w:color="auto" w:sz="2" w:space="0"/>
              <w:bottom w:val="single" w:color="auto" w:sz="2" w:space="0"/>
              <w:right w:val="single" w:color="auto" w:sz="2" w:space="0"/>
            </w:tcBorders>
            <w:vAlign w:val="center"/>
          </w:tcPr>
          <w:p>
            <w:pPr>
              <w:spacing w:line="420" w:lineRule="exact"/>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评标办法正文第3.4.1款修改为：</w:t>
            </w:r>
          </w:p>
          <w:p>
            <w:pPr>
              <w:spacing w:line="4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3.4.1由</w:t>
            </w:r>
            <w:r>
              <w:rPr>
                <w:rFonts w:hint="eastAsia" w:ascii="仿宋_GB2312" w:hAnsi="仿宋_GB2312" w:eastAsia="仿宋_GB2312" w:cs="仿宋_GB2312"/>
                <w:color w:val="auto"/>
                <w:sz w:val="24"/>
                <w:highlight w:val="none"/>
                <w:lang w:eastAsia="zh-CN"/>
              </w:rPr>
              <w:t>计算机辅助评标系统辅助</w:t>
            </w:r>
            <w:r>
              <w:rPr>
                <w:rFonts w:hint="eastAsia" w:ascii="仿宋_GB2312" w:hAnsi="仿宋_GB2312" w:eastAsia="仿宋_GB2312" w:cs="仿宋_GB2312"/>
                <w:color w:val="auto"/>
                <w:sz w:val="24"/>
                <w:highlight w:val="none"/>
                <w:lang w:val="en-US" w:eastAsia="zh-CN"/>
              </w:rPr>
              <w:t>计算基准价，评标委员会需要进行复核。根据按照本章第2.2.款规定的量化因素和标准进行价格计算，计算出经评审的投标价（即评标价），并编制价格比较一览表，评标委员会应仔细复核检查。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216"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3.7.1</w:t>
            </w:r>
          </w:p>
        </w:tc>
        <w:tc>
          <w:tcPr>
            <w:tcW w:w="8445" w:type="dxa"/>
            <w:gridSpan w:val="2"/>
            <w:tcBorders>
              <w:top w:val="single" w:color="auto" w:sz="2" w:space="0"/>
              <w:left w:val="single" w:color="auto" w:sz="2" w:space="0"/>
              <w:bottom w:val="single" w:color="auto" w:sz="2" w:space="0"/>
              <w:right w:val="single" w:color="auto" w:sz="2" w:space="0"/>
            </w:tcBorders>
            <w:vAlign w:val="center"/>
          </w:tcPr>
          <w:p>
            <w:pPr>
              <w:spacing w:line="3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评标办法正文3.7.1项内容修改如下：</w:t>
            </w:r>
          </w:p>
          <w:p>
            <w:pPr>
              <w:spacing w:line="4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3.7.1在评标过程中，评标委员会可通过工程建设项目交易业务系统要求投标人对所提交投标文件中含义不明确的内容、明显文字或计算错误进行澄清或说明，投标人应及时查看</w:t>
            </w:r>
            <w:r>
              <w:rPr>
                <w:rFonts w:hint="eastAsia" w:ascii="仿宋_GB2312" w:hAnsi="仿宋_GB2312" w:eastAsia="仿宋_GB2312" w:cs="仿宋_GB2312"/>
                <w:color w:val="auto"/>
                <w:kern w:val="0"/>
                <w:sz w:val="24"/>
                <w:highlight w:val="none"/>
              </w:rPr>
              <w:t>“电子交易平台”</w:t>
            </w:r>
            <w:r>
              <w:rPr>
                <w:rFonts w:hint="eastAsia" w:ascii="仿宋_GB2312" w:hAnsi="仿宋_GB2312" w:eastAsia="仿宋_GB2312" w:cs="仿宋_GB2312"/>
                <w:color w:val="auto"/>
                <w:sz w:val="24"/>
                <w:highlight w:val="none"/>
              </w:rPr>
              <w:t>并在规定时间内提交澄清或说明。评标委员会不接受投标人主动提出的澄清、说明。投标人不按评标委员会要求及时通过</w:t>
            </w:r>
            <w:r>
              <w:rPr>
                <w:rFonts w:hint="eastAsia" w:ascii="仿宋_GB2312" w:hAnsi="仿宋_GB2312" w:eastAsia="仿宋_GB2312" w:cs="仿宋_GB2312"/>
                <w:color w:val="auto"/>
                <w:kern w:val="0"/>
                <w:sz w:val="24"/>
                <w:highlight w:val="none"/>
              </w:rPr>
              <w:t>“电子交易平台”</w:t>
            </w:r>
            <w:r>
              <w:rPr>
                <w:rFonts w:hint="eastAsia" w:ascii="仿宋_GB2312" w:hAnsi="仿宋_GB2312" w:eastAsia="仿宋_GB2312" w:cs="仿宋_GB2312"/>
                <w:color w:val="auto"/>
                <w:sz w:val="24"/>
                <w:highlight w:val="none"/>
              </w:rPr>
              <w:t>澄清或说明的，评标委员会应否决其投标。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216"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3.7.2</w:t>
            </w:r>
          </w:p>
        </w:tc>
        <w:tc>
          <w:tcPr>
            <w:tcW w:w="8445" w:type="dxa"/>
            <w:gridSpan w:val="2"/>
            <w:tcBorders>
              <w:top w:val="single" w:color="auto" w:sz="2" w:space="0"/>
              <w:left w:val="single" w:color="auto" w:sz="2" w:space="0"/>
              <w:bottom w:val="single" w:color="auto" w:sz="2" w:space="0"/>
              <w:right w:val="single" w:color="auto" w:sz="2" w:space="0"/>
            </w:tcBorders>
            <w:vAlign w:val="center"/>
          </w:tcPr>
          <w:p>
            <w:pPr>
              <w:spacing w:line="3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评标办法正文3.7.2项内容修改如下：</w:t>
            </w:r>
          </w:p>
          <w:p>
            <w:pPr>
              <w:spacing w:line="4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3.7.2 澄清、说明不得超出投标文件的范围或改变投标文件的实质性内容（算术性错误修正的除外）。投标人通过</w:t>
            </w:r>
            <w:r>
              <w:rPr>
                <w:rFonts w:hint="eastAsia" w:ascii="仿宋_GB2312" w:hAnsi="仿宋_GB2312" w:eastAsia="仿宋_GB2312" w:cs="仿宋_GB2312"/>
                <w:color w:val="auto"/>
                <w:kern w:val="0"/>
                <w:sz w:val="24"/>
                <w:highlight w:val="none"/>
              </w:rPr>
              <w:t>“电子交易平台”</w:t>
            </w:r>
            <w:r>
              <w:rPr>
                <w:rFonts w:hint="eastAsia" w:ascii="仿宋_GB2312" w:hAnsi="仿宋_GB2312" w:eastAsia="仿宋_GB2312" w:cs="仿宋_GB2312"/>
                <w:color w:val="auto"/>
                <w:sz w:val="24"/>
                <w:highlight w:val="none"/>
              </w:rPr>
              <w:t>提交的澄清、说明属于投标文件的组成部分。</w:t>
            </w:r>
          </w:p>
        </w:tc>
      </w:tr>
    </w:tbl>
    <w:p>
      <w:pPr>
        <w:rPr>
          <w:rFonts w:hint="eastAsia" w:ascii="仿宋_GB2312" w:hAnsi="仿宋_GB2312" w:eastAsia="仿宋_GB2312" w:cs="仿宋_GB2312"/>
          <w:color w:val="auto"/>
          <w:sz w:val="24"/>
          <w:highlight w:val="none"/>
        </w:rPr>
      </w:pPr>
    </w:p>
    <w:p>
      <w:pPr>
        <w:rPr>
          <w:rFonts w:hint="eastAsia" w:ascii="仿宋_GB2312" w:hAnsi="仿宋_GB2312" w:eastAsia="仿宋_GB2312" w:cs="仿宋_GB2312"/>
          <w:color w:val="auto"/>
          <w:sz w:val="24"/>
          <w:highlight w:val="none"/>
        </w:rPr>
      </w:pPr>
    </w:p>
    <w:p>
      <w:pPr>
        <w:spacing w:line="400" w:lineRule="atLeast"/>
        <w:ind w:firstLine="482" w:firstLineChars="200"/>
        <w:jc w:val="both"/>
        <w:rPr>
          <w:rStyle w:val="11"/>
          <w:rFonts w:hint="eastAsia" w:ascii="仿宋_GB2312" w:hAnsi="仿宋_GB2312" w:eastAsia="仿宋_GB2312" w:cs="仿宋_GB2312"/>
          <w:color w:val="auto"/>
          <w:sz w:val="24"/>
          <w:szCs w:val="24"/>
          <w:highlight w:val="none"/>
          <w:lang w:val="en-US" w:eastAsia="zh-CN"/>
        </w:rPr>
      </w:pPr>
      <w:r>
        <w:rPr>
          <w:rStyle w:val="11"/>
          <w:rFonts w:hint="eastAsia" w:ascii="仿宋_GB2312" w:hAnsi="仿宋_GB2312" w:eastAsia="仿宋_GB2312" w:cs="仿宋_GB2312"/>
          <w:color w:val="auto"/>
          <w:sz w:val="24"/>
          <w:szCs w:val="24"/>
          <w:highlight w:val="none"/>
          <w:lang w:val="en-US" w:eastAsia="zh-CN"/>
        </w:rPr>
        <w:t>第九章 投标文件格式部分内容修改如下：</w:t>
      </w:r>
    </w:p>
    <w:p>
      <w:pPr>
        <w:spacing w:line="400" w:lineRule="atLeast"/>
        <w:ind w:firstLine="482" w:firstLineChars="200"/>
        <w:rPr>
          <w:rFonts w:hint="eastAsia" w:ascii="仿宋_GB2312" w:hAnsi="仿宋_GB2312" w:eastAsia="仿宋_GB2312" w:cs="仿宋_GB2312"/>
          <w:b/>
          <w:bCs/>
          <w:color w:val="auto"/>
          <w:kern w:val="2"/>
          <w:sz w:val="24"/>
          <w:szCs w:val="24"/>
          <w:highlight w:val="none"/>
          <w:lang w:val="en-US" w:eastAsia="zh-CN" w:bidi="ar-SA"/>
        </w:rPr>
      </w:pPr>
    </w:p>
    <w:p>
      <w:pPr>
        <w:spacing w:line="400" w:lineRule="atLeast"/>
        <w:ind w:firstLine="482" w:firstLineChars="200"/>
        <w:rPr>
          <w:rFonts w:hint="eastAsia" w:ascii="仿宋_GB2312" w:hAnsi="仿宋_GB2312" w:eastAsia="仿宋_GB2312" w:cs="仿宋_GB2312"/>
          <w:b/>
          <w:bCs/>
          <w:color w:val="auto"/>
          <w:kern w:val="2"/>
          <w:sz w:val="24"/>
          <w:szCs w:val="24"/>
          <w:highlight w:val="none"/>
          <w:lang w:val="en-US" w:eastAsia="zh-CN" w:bidi="ar-SA"/>
        </w:rPr>
      </w:pPr>
      <w:r>
        <w:rPr>
          <w:rFonts w:hint="eastAsia" w:ascii="仿宋_GB2312" w:hAnsi="仿宋_GB2312" w:eastAsia="仿宋_GB2312" w:cs="仿宋_GB2312"/>
          <w:b/>
          <w:bCs/>
          <w:color w:val="auto"/>
          <w:kern w:val="2"/>
          <w:sz w:val="24"/>
          <w:szCs w:val="24"/>
          <w:highlight w:val="none"/>
          <w:lang w:val="en-US" w:eastAsia="zh-CN" w:bidi="ar-SA"/>
        </w:rPr>
        <w:t>将报价文件格式的部分内容修改如下：</w:t>
      </w:r>
    </w:p>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(一)投标函</w:t>
      </w:r>
    </w:p>
    <w:p>
      <w:pPr>
        <w:spacing w:line="40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（招标人名称）：</w:t>
      </w:r>
    </w:p>
    <w:p>
      <w:pPr>
        <w:spacing w:line="400" w:lineRule="atLeast"/>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1.我方已仔细研究</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eastAsia="zh-CN"/>
        </w:rPr>
        <w:t>备注：招标文件中由招标人直接写上</w:t>
      </w:r>
      <w:r>
        <w:rPr>
          <w:rFonts w:hint="eastAsia" w:ascii="仿宋_GB2312" w:hAnsi="仿宋_GB2312" w:eastAsia="仿宋_GB2312" w:cs="仿宋_GB2312"/>
          <w:color w:val="auto"/>
          <w:sz w:val="24"/>
          <w:szCs w:val="24"/>
          <w:highlight w:val="none"/>
          <w:u w:val="single"/>
        </w:rPr>
        <w:t>项目名称</w:t>
      </w:r>
      <w:r>
        <w:rPr>
          <w:rFonts w:hint="eastAsia" w:ascii="仿宋_GB2312" w:hAnsi="仿宋_GB2312" w:eastAsia="仿宋_GB2312" w:cs="仿宋_GB2312"/>
          <w:color w:val="auto"/>
          <w:sz w:val="24"/>
          <w:szCs w:val="24"/>
          <w:highlight w:val="none"/>
          <w:u w:val="single"/>
          <w:lang w:eastAsia="zh-CN"/>
        </w:rPr>
        <w:t>及标段</w:t>
      </w:r>
      <w:r>
        <w:rPr>
          <w:rFonts w:hint="eastAsia" w:ascii="仿宋_GB2312" w:hAnsi="仿宋_GB2312" w:eastAsia="仿宋_GB2312" w:cs="仿宋_GB2312"/>
          <w:color w:val="auto"/>
          <w:sz w:val="24"/>
          <w:szCs w:val="24"/>
          <w:highlight w:val="none"/>
          <w:u w:val="single"/>
        </w:rPr>
        <w:t>）</w:t>
      </w:r>
      <w:r>
        <w:rPr>
          <w:rFonts w:hint="eastAsia" w:ascii="仿宋_GB2312" w:hAnsi="仿宋_GB2312" w:eastAsia="仿宋_GB2312" w:cs="仿宋_GB2312"/>
          <w:color w:val="auto"/>
          <w:sz w:val="24"/>
          <w:szCs w:val="24"/>
          <w:highlight w:val="none"/>
        </w:rPr>
        <w:t>施工招标文件的全部内容（含补遗书第</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号至第</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号），在考察工程现场后，愿意以</w:t>
      </w:r>
      <w:r>
        <w:rPr>
          <w:rFonts w:hint="eastAsia" w:ascii="仿宋_GB2312" w:hAnsi="仿宋_GB2312" w:eastAsia="仿宋_GB2312" w:cs="仿宋_GB2312"/>
          <w:color w:val="auto"/>
          <w:sz w:val="24"/>
          <w:szCs w:val="24"/>
          <w:highlight w:val="none"/>
          <w:u w:val="single"/>
          <w:lang w:eastAsia="zh-CN"/>
        </w:rPr>
        <w:t>按照电</w:t>
      </w:r>
      <w:r>
        <w:rPr>
          <w:rFonts w:hint="eastAsia" w:ascii="仿宋_GB2312" w:hAnsi="仿宋_GB2312" w:eastAsia="仿宋_GB2312" w:cs="仿宋_GB2312"/>
          <w:i w:val="0"/>
          <w:iCs w:val="0"/>
          <w:color w:val="auto"/>
          <w:sz w:val="24"/>
          <w:szCs w:val="24"/>
          <w:highlight w:val="none"/>
          <w:u w:val="single"/>
          <w:lang w:eastAsia="zh-CN"/>
        </w:rPr>
        <w:t>子交易平台要求加密并上传的已标价工程量清单表电子</w:t>
      </w:r>
      <w:r>
        <w:rPr>
          <w:rFonts w:hint="eastAsia" w:ascii="仿宋_GB2312" w:hAnsi="仿宋_GB2312" w:eastAsia="仿宋_GB2312" w:cs="仿宋_GB2312"/>
          <w:i w:val="0"/>
          <w:iCs w:val="0"/>
          <w:color w:val="auto"/>
          <w:sz w:val="24"/>
          <w:szCs w:val="24"/>
          <w:highlight w:val="none"/>
          <w:u w:val="single"/>
          <w:lang w:val="en-US" w:eastAsia="zh-CN"/>
        </w:rPr>
        <w:t>文件的</w:t>
      </w:r>
      <w:r>
        <w:rPr>
          <w:rFonts w:hint="eastAsia" w:ascii="仿宋_GB2312" w:hAnsi="仿宋_GB2312" w:eastAsia="仿宋_GB2312" w:cs="仿宋_GB2312"/>
          <w:i w:val="0"/>
          <w:iCs w:val="0"/>
          <w:color w:val="auto"/>
          <w:sz w:val="24"/>
          <w:szCs w:val="24"/>
          <w:highlight w:val="none"/>
          <w:u w:val="single"/>
          <w:lang w:eastAsia="zh-CN"/>
        </w:rPr>
        <w:t>投标总报价</w:t>
      </w:r>
      <w:r>
        <w:rPr>
          <w:rFonts w:hint="eastAsia" w:ascii="仿宋_GB2312" w:hAnsi="仿宋_GB2312" w:eastAsia="仿宋_GB2312" w:cs="仿宋_GB2312"/>
          <w:color w:val="auto"/>
          <w:sz w:val="24"/>
          <w:szCs w:val="24"/>
          <w:highlight w:val="none"/>
        </w:rPr>
        <w:t>（或根据招标文件规定修正核实后确定的另一金额，其中，增值税税率为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），按合同约定实施和完成承包工程，修补工程中的任何缺陷。</w:t>
      </w:r>
    </w:p>
    <w:p>
      <w:pPr>
        <w:spacing w:line="400" w:lineRule="atLeas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2.在合同协议书正式签署生效之前，本投标函连同你方的中标通知书将构成我们双方之间共同遵守的文件，对双方具有约束力。</w:t>
      </w:r>
    </w:p>
    <w:p>
      <w:pPr>
        <w:spacing w:line="400" w:lineRule="atLeast"/>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（其他补充说明）。</w:t>
      </w:r>
    </w:p>
    <w:p>
      <w:pPr>
        <w:spacing w:line="400" w:lineRule="atLeast"/>
        <w:ind w:firstLine="480" w:firstLineChars="200"/>
        <w:rPr>
          <w:rFonts w:hint="eastAsia" w:ascii="仿宋_GB2312" w:hAnsi="仿宋_GB2312" w:eastAsia="仿宋_GB2312" w:cs="仿宋_GB2312"/>
          <w:color w:val="auto"/>
          <w:sz w:val="24"/>
          <w:szCs w:val="24"/>
          <w:highlight w:val="none"/>
        </w:rPr>
      </w:pPr>
    </w:p>
    <w:p>
      <w:pPr>
        <w:spacing w:line="400" w:lineRule="atLeast"/>
        <w:ind w:firstLine="2880" w:firstLineChars="1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投标人：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（盖单位章）</w:t>
      </w:r>
    </w:p>
    <w:p>
      <w:pPr>
        <w:spacing w:line="400" w:lineRule="atLeast"/>
        <w:ind w:firstLine="2880" w:firstLineChars="1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法定代表人或其委托代理人：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（签字）</w:t>
      </w:r>
    </w:p>
    <w:p>
      <w:pPr>
        <w:spacing w:line="400" w:lineRule="atLeast"/>
        <w:ind w:firstLine="2880" w:firstLineChars="1200"/>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地址：</w:t>
      </w:r>
      <w:r>
        <w:rPr>
          <w:rFonts w:hint="eastAsia" w:ascii="仿宋_GB2312" w:hAnsi="仿宋_GB2312" w:eastAsia="仿宋_GB2312" w:cs="仿宋_GB2312"/>
          <w:color w:val="auto"/>
          <w:sz w:val="24"/>
          <w:szCs w:val="24"/>
          <w:highlight w:val="none"/>
          <w:u w:val="single"/>
        </w:rPr>
        <w:t xml:space="preserve">                                   </w:t>
      </w:r>
    </w:p>
    <w:p>
      <w:pPr>
        <w:spacing w:line="400" w:lineRule="atLeast"/>
        <w:ind w:firstLine="2880" w:firstLineChars="1200"/>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网址：</w:t>
      </w:r>
      <w:r>
        <w:rPr>
          <w:rFonts w:hint="eastAsia" w:ascii="仿宋_GB2312" w:hAnsi="仿宋_GB2312" w:eastAsia="仿宋_GB2312" w:cs="仿宋_GB2312"/>
          <w:color w:val="auto"/>
          <w:sz w:val="24"/>
          <w:szCs w:val="24"/>
          <w:highlight w:val="none"/>
          <w:u w:val="single"/>
        </w:rPr>
        <w:t xml:space="preserve">                                   </w:t>
      </w:r>
    </w:p>
    <w:p>
      <w:pPr>
        <w:spacing w:line="400" w:lineRule="atLeast"/>
        <w:ind w:firstLine="2880" w:firstLineChars="1200"/>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电话：</w:t>
      </w:r>
      <w:r>
        <w:rPr>
          <w:rFonts w:hint="eastAsia" w:ascii="仿宋_GB2312" w:hAnsi="仿宋_GB2312" w:eastAsia="仿宋_GB2312" w:cs="仿宋_GB2312"/>
          <w:color w:val="auto"/>
          <w:sz w:val="24"/>
          <w:szCs w:val="24"/>
          <w:highlight w:val="none"/>
          <w:u w:val="single"/>
        </w:rPr>
        <w:t xml:space="preserve">                                   </w:t>
      </w:r>
    </w:p>
    <w:p>
      <w:pPr>
        <w:spacing w:line="400" w:lineRule="atLeast"/>
        <w:ind w:firstLine="2880" w:firstLineChars="1200"/>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传真：</w:t>
      </w:r>
      <w:r>
        <w:rPr>
          <w:rFonts w:hint="eastAsia" w:ascii="仿宋_GB2312" w:hAnsi="仿宋_GB2312" w:eastAsia="仿宋_GB2312" w:cs="仿宋_GB2312"/>
          <w:color w:val="auto"/>
          <w:sz w:val="24"/>
          <w:szCs w:val="24"/>
          <w:highlight w:val="none"/>
          <w:u w:val="single"/>
        </w:rPr>
        <w:t xml:space="preserve">                                   </w:t>
      </w:r>
    </w:p>
    <w:p>
      <w:pPr>
        <w:spacing w:line="400" w:lineRule="atLeast"/>
        <w:ind w:firstLine="2880" w:firstLineChars="1200"/>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邮政编码：</w:t>
      </w:r>
      <w:r>
        <w:rPr>
          <w:rFonts w:hint="eastAsia" w:ascii="仿宋_GB2312" w:hAnsi="仿宋_GB2312" w:eastAsia="仿宋_GB2312" w:cs="仿宋_GB2312"/>
          <w:color w:val="auto"/>
          <w:sz w:val="24"/>
          <w:szCs w:val="24"/>
          <w:highlight w:val="none"/>
          <w:u w:val="single"/>
        </w:rPr>
        <w:t xml:space="preserve">                               </w:t>
      </w:r>
    </w:p>
    <w:p>
      <w:pPr>
        <w:spacing w:line="400" w:lineRule="atLeast"/>
        <w:ind w:firstLine="480" w:firstLineChars="200"/>
        <w:rPr>
          <w:rFonts w:hint="eastAsia" w:ascii="仿宋_GB2312" w:hAnsi="仿宋_GB2312" w:eastAsia="仿宋_GB2312" w:cs="仿宋_GB2312"/>
          <w:color w:val="auto"/>
          <w:sz w:val="24"/>
          <w:szCs w:val="24"/>
          <w:highlight w:val="none"/>
          <w:u w:val="single"/>
        </w:rPr>
      </w:pPr>
    </w:p>
    <w:p>
      <w:pPr>
        <w:spacing w:line="400" w:lineRule="atLeast"/>
        <w:ind w:firstLine="3840" w:firstLineChars="16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日</w:t>
      </w:r>
    </w:p>
    <w:p>
      <w:pPr>
        <w:rPr>
          <w:rFonts w:hint="eastAsia" w:ascii="仿宋_GB2312" w:hAnsi="仿宋_GB2312" w:eastAsia="仿宋_GB2312" w:cs="仿宋_GB2312"/>
          <w:color w:val="auto"/>
          <w:sz w:val="24"/>
          <w:szCs w:val="24"/>
          <w:highlight w:val="none"/>
        </w:rPr>
      </w:pPr>
    </w:p>
    <w:p>
      <w:pPr>
        <w:numPr>
          <w:ilvl w:val="0"/>
          <w:numId w:val="0"/>
        </w:numPr>
        <w:rPr>
          <w:rFonts w:hint="eastAsia" w:ascii="仿宋_GB2312" w:hAnsi="仿宋_GB2312" w:eastAsia="仿宋_GB2312" w:cs="仿宋_GB2312"/>
          <w:color w:val="auto"/>
          <w:kern w:val="0"/>
          <w:sz w:val="24"/>
          <w:szCs w:val="24"/>
          <w:highlight w:val="none"/>
          <w:lang w:val="en-US" w:eastAsia="zh-CN"/>
        </w:rPr>
      </w:pPr>
    </w:p>
    <w:p>
      <w:pPr>
        <w:spacing w:line="400" w:lineRule="atLeast"/>
        <w:ind w:firstLine="482" w:firstLineChars="200"/>
        <w:rPr>
          <w:rFonts w:hint="eastAsia" w:ascii="仿宋_GB2312" w:hAnsi="仿宋_GB2312" w:eastAsia="仿宋_GB2312" w:cs="仿宋_GB2312"/>
          <w:b/>
          <w:bCs/>
          <w:color w:val="auto"/>
          <w:kern w:val="2"/>
          <w:sz w:val="24"/>
          <w:szCs w:val="24"/>
          <w:highlight w:val="none"/>
          <w:lang w:val="en-US" w:eastAsia="zh-CN" w:bidi="ar-SA"/>
        </w:rPr>
      </w:pPr>
      <w:bookmarkStart w:id="4" w:name="_Toc234382965"/>
      <w:r>
        <w:rPr>
          <w:rFonts w:hint="eastAsia" w:ascii="仿宋_GB2312" w:hAnsi="仿宋_GB2312" w:eastAsia="仿宋_GB2312" w:cs="仿宋_GB2312"/>
          <w:b/>
          <w:bCs/>
          <w:color w:val="auto"/>
          <w:kern w:val="2"/>
          <w:sz w:val="24"/>
          <w:szCs w:val="24"/>
          <w:highlight w:val="none"/>
          <w:lang w:val="en-US" w:eastAsia="zh-CN" w:bidi="ar-SA"/>
        </w:rPr>
        <w:t>已标价工程量清单</w:t>
      </w:r>
      <w:bookmarkEnd w:id="4"/>
      <w:r>
        <w:rPr>
          <w:rFonts w:hint="eastAsia" w:ascii="仿宋_GB2312" w:hAnsi="仿宋_GB2312" w:eastAsia="仿宋_GB2312" w:cs="仿宋_GB2312"/>
          <w:b/>
          <w:bCs/>
          <w:color w:val="auto"/>
          <w:kern w:val="2"/>
          <w:sz w:val="24"/>
          <w:szCs w:val="24"/>
          <w:highlight w:val="none"/>
          <w:lang w:val="en-US" w:eastAsia="zh-CN" w:bidi="ar-SA"/>
        </w:rPr>
        <w:t>的第5小点及备注修改为：</w:t>
      </w:r>
    </w:p>
    <w:p>
      <w:pPr>
        <w:spacing w:line="360" w:lineRule="auto"/>
        <w:ind w:firstLine="480" w:firstLineChars="200"/>
        <w:rPr>
          <w:rFonts w:hint="eastAsia"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lang w:val="en-US"/>
        </w:rPr>
        <w:t>5. 工程量清单</w:t>
      </w:r>
    </w:p>
    <w:p>
      <w:pPr>
        <w:spacing w:line="360" w:lineRule="auto"/>
        <w:ind w:firstLine="480" w:firstLineChars="200"/>
        <w:rPr>
          <w:rFonts w:hint="eastAsia"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lang w:val="en-US"/>
        </w:rPr>
        <w:t>5.1 工程量清单表</w:t>
      </w:r>
    </w:p>
    <w:p>
      <w:pPr>
        <w:spacing w:line="360" w:lineRule="auto"/>
        <w:ind w:firstLine="480" w:firstLineChars="20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具体见已上传的按照电子招标平台要求加密的已标价工程清单表电子文件（xml格式）</w:t>
      </w:r>
    </w:p>
    <w:p>
      <w:pPr>
        <w:spacing w:line="360" w:lineRule="auto"/>
        <w:ind w:firstLine="480" w:firstLineChars="200"/>
        <w:rPr>
          <w:rFonts w:hint="eastAsia"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lang w:val="en-US"/>
        </w:rPr>
        <w:t>工程量清单具体应执行现行的《广东省执行交通运输部&lt;公路工程标准施工招标文件范本&gt;的补充规定》、《关于印发&lt;广东省高速公路建设标准化管理指南（试行）&gt;（工程造价标准化管理）的通知》（粤交基【2011】158号）、《广东省公路工程施工招标清单预算管理规程》。如以上文件有修订，本范本则依照最新修订版本执行。</w:t>
      </w:r>
    </w:p>
    <w:p>
      <w:pPr>
        <w:spacing w:line="360" w:lineRule="auto"/>
        <w:ind w:firstLine="480" w:firstLineChars="20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备注：投标人应按照第五章“工程量清单”的要求逐项填报工程量清单，在电子招标平台上传按照电子招标平台要求加密的已标价工程清单电子文件（xml格式）。</w:t>
      </w:r>
    </w:p>
    <w:p>
      <w:pPr>
        <w:spacing w:line="360" w:lineRule="auto"/>
        <w:ind w:firstLine="480" w:firstLineChars="20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为规范电子评标项目工程量清单的编制与填报，招标人在编制固化工程量清单时，注意设置以下内容，避免系统无法识别：（1）导出的xml文件统一使用100-900章的名称分别如下:清单 第100章 总则；清单 第200章 路基；清单 第300章 路面；清单 第400章 桥梁、涵洞工程；清单 第500章 隧道；清单 第600章 交通安全设施；清单 第700章 绿化及环境保护设施；清单 第800章 机电工程；清单 第900章 附属区房建工程；（2）对于第100章内容，若无具体数量，工程量清单数量应为1；清单工程量、单价、合价小数位分别保留3位、2位、2位；以助于计算机辅助评标系统清标。各潜在投标人填报工程量清单时认真按照招标人提供的固化工程量清单填报，避免计算机辅助清标发现问题。</w:t>
      </w:r>
    </w:p>
    <w:p>
      <w:pPr>
        <w:rPr>
          <w:rFonts w:hint="eastAsia" w:ascii="仿宋_GB2312" w:hAnsi="仿宋_GB2312" w:eastAsia="仿宋_GB2312" w:cs="仿宋_GB2312"/>
          <w:color w:val="auto"/>
          <w:kern w:val="2"/>
          <w:sz w:val="24"/>
          <w:szCs w:val="24"/>
          <w:highlight w:val="none"/>
          <w:lang w:val="en-US"/>
        </w:rPr>
      </w:pPr>
    </w:p>
    <w:p>
      <w:pP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   表8-2修改为：</w:t>
      </w:r>
    </w:p>
    <w:p>
      <w:pPr>
        <w:widowControl/>
        <w:autoSpaceDE w:val="0"/>
        <w:autoSpaceDN w:val="0"/>
        <w:spacing w:line="400" w:lineRule="atLeast"/>
        <w:jc w:val="center"/>
        <w:textAlignment w:val="bottom"/>
        <w:rPr>
          <w:rFonts w:hint="eastAsia" w:ascii="宋体" w:hAnsi="宋体" w:eastAsia="宋体"/>
          <w:color w:val="auto"/>
          <w:highlight w:val="none"/>
          <w:lang w:eastAsia="zh-CN"/>
        </w:rPr>
      </w:pPr>
      <w:r>
        <w:rPr>
          <w:rFonts w:ascii="宋体" w:hAnsi="宋体"/>
          <w:color w:val="auto"/>
          <w:sz w:val="24"/>
          <w:highlight w:val="none"/>
        </w:rPr>
        <w:t>表</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2</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拟委任的项目经理和项目总工资历表</w:t>
      </w:r>
    </w:p>
    <w:tbl>
      <w:tblPr>
        <w:tblStyle w:val="1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11"/>
        <w:gridCol w:w="49"/>
        <w:gridCol w:w="1160"/>
        <w:gridCol w:w="264"/>
        <w:gridCol w:w="1038"/>
        <w:gridCol w:w="1354"/>
        <w:gridCol w:w="329"/>
        <w:gridCol w:w="1513"/>
        <w:gridCol w:w="376"/>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76" w:hRule="atLeast"/>
        </w:trPr>
        <w:tc>
          <w:tcPr>
            <w:tcW w:w="1211" w:type="dxa"/>
            <w:vAlign w:val="center"/>
          </w:tcPr>
          <w:p>
            <w:pPr>
              <w:widowControl/>
              <w:autoSpaceDE w:val="0"/>
              <w:autoSpaceDN w:val="0"/>
              <w:spacing w:line="400" w:lineRule="atLeast"/>
              <w:jc w:val="center"/>
              <w:textAlignment w:val="bottom"/>
              <w:rPr>
                <w:rFonts w:ascii="宋体" w:hAnsi="宋体"/>
                <w:color w:val="auto"/>
                <w:szCs w:val="21"/>
                <w:highlight w:val="none"/>
              </w:rPr>
            </w:pPr>
            <w:r>
              <w:rPr>
                <w:rFonts w:ascii="宋体" w:hAnsi="宋体"/>
                <w:color w:val="auto"/>
                <w:szCs w:val="21"/>
                <w:highlight w:val="none"/>
              </w:rPr>
              <w:t>姓    名</w:t>
            </w:r>
          </w:p>
        </w:tc>
        <w:tc>
          <w:tcPr>
            <w:tcW w:w="1473" w:type="dxa"/>
            <w:gridSpan w:val="3"/>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038" w:type="dxa"/>
            <w:vAlign w:val="center"/>
          </w:tcPr>
          <w:p>
            <w:pPr>
              <w:widowControl/>
              <w:autoSpaceDE w:val="0"/>
              <w:autoSpaceDN w:val="0"/>
              <w:spacing w:line="400" w:lineRule="atLeast"/>
              <w:jc w:val="center"/>
              <w:textAlignment w:val="bottom"/>
              <w:rPr>
                <w:rFonts w:ascii="宋体" w:hAnsi="宋体"/>
                <w:color w:val="auto"/>
                <w:szCs w:val="21"/>
                <w:highlight w:val="none"/>
              </w:rPr>
            </w:pPr>
            <w:r>
              <w:rPr>
                <w:rFonts w:ascii="宋体" w:hAnsi="宋体"/>
                <w:color w:val="auto"/>
                <w:szCs w:val="21"/>
                <w:highlight w:val="none"/>
              </w:rPr>
              <w:t>年    龄</w:t>
            </w:r>
          </w:p>
        </w:tc>
        <w:tc>
          <w:tcPr>
            <w:tcW w:w="1354" w:type="dxa"/>
            <w:vAlign w:val="top"/>
          </w:tcPr>
          <w:p>
            <w:pPr>
              <w:widowControl/>
              <w:autoSpaceDE w:val="0"/>
              <w:autoSpaceDN w:val="0"/>
              <w:spacing w:line="400" w:lineRule="atLeast"/>
              <w:jc w:val="center"/>
              <w:textAlignment w:val="bottom"/>
              <w:rPr>
                <w:rFonts w:ascii="宋体" w:hAnsi="宋体"/>
                <w:color w:val="auto"/>
                <w:szCs w:val="21"/>
                <w:highlight w:val="none"/>
              </w:rPr>
            </w:pPr>
          </w:p>
        </w:tc>
        <w:tc>
          <w:tcPr>
            <w:tcW w:w="1842" w:type="dxa"/>
            <w:gridSpan w:val="2"/>
            <w:vAlign w:val="top"/>
          </w:tcPr>
          <w:p>
            <w:pPr>
              <w:widowControl/>
              <w:autoSpaceDE w:val="0"/>
              <w:autoSpaceDN w:val="0"/>
              <w:spacing w:line="400" w:lineRule="atLeast"/>
              <w:jc w:val="center"/>
              <w:textAlignment w:val="bottom"/>
              <w:rPr>
                <w:rFonts w:ascii="宋体" w:hAnsi="宋体"/>
                <w:color w:val="auto"/>
                <w:szCs w:val="21"/>
                <w:highlight w:val="none"/>
              </w:rPr>
            </w:pPr>
            <w:r>
              <w:rPr>
                <w:rFonts w:ascii="宋体" w:hAnsi="宋体"/>
                <w:color w:val="auto"/>
                <w:szCs w:val="21"/>
                <w:highlight w:val="none"/>
              </w:rPr>
              <w:t>专    业</w:t>
            </w:r>
          </w:p>
        </w:tc>
        <w:tc>
          <w:tcPr>
            <w:tcW w:w="1830" w:type="dxa"/>
            <w:gridSpan w:val="2"/>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95" w:hRule="atLeast"/>
        </w:trPr>
        <w:tc>
          <w:tcPr>
            <w:tcW w:w="1211" w:type="dxa"/>
            <w:vAlign w:val="center"/>
          </w:tcPr>
          <w:p>
            <w:pPr>
              <w:widowControl/>
              <w:autoSpaceDE w:val="0"/>
              <w:autoSpaceDN w:val="0"/>
              <w:spacing w:line="400" w:lineRule="atLeast"/>
              <w:jc w:val="center"/>
              <w:textAlignment w:val="bottom"/>
              <w:rPr>
                <w:rFonts w:ascii="宋体" w:hAnsi="宋体"/>
                <w:color w:val="auto"/>
                <w:szCs w:val="21"/>
                <w:highlight w:val="none"/>
              </w:rPr>
            </w:pPr>
            <w:r>
              <w:rPr>
                <w:rFonts w:hint="eastAsia" w:ascii="宋体" w:hAnsi="宋体"/>
                <w:color w:val="auto"/>
                <w:szCs w:val="21"/>
                <w:highlight w:val="none"/>
              </w:rPr>
              <w:t>技术职称</w:t>
            </w:r>
          </w:p>
        </w:tc>
        <w:tc>
          <w:tcPr>
            <w:tcW w:w="1473" w:type="dxa"/>
            <w:gridSpan w:val="3"/>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038" w:type="dxa"/>
            <w:vAlign w:val="center"/>
          </w:tcPr>
          <w:p>
            <w:pPr>
              <w:widowControl/>
              <w:autoSpaceDE w:val="0"/>
              <w:autoSpaceDN w:val="0"/>
              <w:spacing w:line="400" w:lineRule="atLeast"/>
              <w:jc w:val="center"/>
              <w:textAlignment w:val="bottom"/>
              <w:rPr>
                <w:rFonts w:ascii="宋体" w:hAnsi="宋体"/>
                <w:color w:val="auto"/>
                <w:szCs w:val="21"/>
                <w:highlight w:val="none"/>
              </w:rPr>
            </w:pPr>
            <w:r>
              <w:rPr>
                <w:rFonts w:hint="eastAsia" w:ascii="宋体" w:hAnsi="宋体"/>
                <w:color w:val="auto"/>
                <w:szCs w:val="21"/>
                <w:highlight w:val="none"/>
              </w:rPr>
              <w:t>学历</w:t>
            </w:r>
          </w:p>
        </w:tc>
        <w:tc>
          <w:tcPr>
            <w:tcW w:w="1354" w:type="dxa"/>
            <w:vAlign w:val="top"/>
          </w:tcPr>
          <w:p>
            <w:pPr>
              <w:widowControl/>
              <w:autoSpaceDE w:val="0"/>
              <w:autoSpaceDN w:val="0"/>
              <w:spacing w:line="400" w:lineRule="atLeast"/>
              <w:jc w:val="center"/>
              <w:textAlignment w:val="bottom"/>
              <w:rPr>
                <w:rFonts w:ascii="宋体" w:hAnsi="宋体"/>
                <w:color w:val="auto"/>
                <w:szCs w:val="21"/>
                <w:highlight w:val="none"/>
              </w:rPr>
            </w:pPr>
          </w:p>
        </w:tc>
        <w:tc>
          <w:tcPr>
            <w:tcW w:w="1842" w:type="dxa"/>
            <w:gridSpan w:val="2"/>
            <w:vAlign w:val="top"/>
          </w:tcPr>
          <w:p>
            <w:pPr>
              <w:widowControl/>
              <w:autoSpaceDE w:val="0"/>
              <w:autoSpaceDN w:val="0"/>
              <w:spacing w:line="400" w:lineRule="atLeast"/>
              <w:jc w:val="center"/>
              <w:textAlignment w:val="bottom"/>
              <w:rPr>
                <w:rFonts w:ascii="宋体" w:hAnsi="宋体"/>
                <w:color w:val="auto"/>
                <w:szCs w:val="21"/>
                <w:highlight w:val="none"/>
              </w:rPr>
            </w:pPr>
            <w:r>
              <w:rPr>
                <w:rFonts w:ascii="宋体" w:hAnsi="宋体"/>
                <w:color w:val="auto"/>
                <w:szCs w:val="21"/>
                <w:highlight w:val="none"/>
              </w:rPr>
              <w:t>拟在本标段</w:t>
            </w:r>
          </w:p>
          <w:p>
            <w:pPr>
              <w:widowControl/>
              <w:autoSpaceDE w:val="0"/>
              <w:autoSpaceDN w:val="0"/>
              <w:spacing w:line="400" w:lineRule="atLeast"/>
              <w:jc w:val="center"/>
              <w:textAlignment w:val="bottom"/>
              <w:rPr>
                <w:rFonts w:ascii="宋体" w:hAnsi="宋体"/>
                <w:color w:val="auto"/>
                <w:szCs w:val="21"/>
                <w:highlight w:val="none"/>
              </w:rPr>
            </w:pPr>
            <w:r>
              <w:rPr>
                <w:rFonts w:ascii="宋体" w:hAnsi="宋体"/>
                <w:color w:val="auto"/>
                <w:szCs w:val="21"/>
                <w:highlight w:val="none"/>
              </w:rPr>
              <w:t>工程任职</w:t>
            </w:r>
          </w:p>
        </w:tc>
        <w:tc>
          <w:tcPr>
            <w:tcW w:w="1830" w:type="dxa"/>
            <w:gridSpan w:val="2"/>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4" w:hRule="atLeast"/>
        </w:trPr>
        <w:tc>
          <w:tcPr>
            <w:tcW w:w="1211" w:type="dxa"/>
            <w:vAlign w:val="center"/>
          </w:tcPr>
          <w:p>
            <w:pPr>
              <w:widowControl/>
              <w:autoSpaceDE w:val="0"/>
              <w:autoSpaceDN w:val="0"/>
              <w:spacing w:line="400" w:lineRule="atLeast"/>
              <w:jc w:val="center"/>
              <w:textAlignment w:val="bottom"/>
              <w:rPr>
                <w:rFonts w:hint="eastAsia" w:ascii="宋体" w:hAnsi="宋体"/>
                <w:color w:val="auto"/>
                <w:szCs w:val="21"/>
                <w:highlight w:val="none"/>
              </w:rPr>
            </w:pPr>
            <w:r>
              <w:rPr>
                <w:rFonts w:hint="eastAsia" w:ascii="宋体" w:hAnsi="宋体"/>
                <w:color w:val="auto"/>
                <w:szCs w:val="21"/>
                <w:highlight w:val="none"/>
              </w:rPr>
              <w:t>工作年限</w:t>
            </w:r>
          </w:p>
        </w:tc>
        <w:tc>
          <w:tcPr>
            <w:tcW w:w="3865" w:type="dxa"/>
            <w:gridSpan w:val="5"/>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842" w:type="dxa"/>
            <w:gridSpan w:val="2"/>
            <w:vAlign w:val="top"/>
          </w:tcPr>
          <w:p>
            <w:pPr>
              <w:widowControl/>
              <w:autoSpaceDE w:val="0"/>
              <w:autoSpaceDN w:val="0"/>
              <w:spacing w:line="400" w:lineRule="atLeast"/>
              <w:jc w:val="center"/>
              <w:textAlignment w:val="bottom"/>
              <w:rPr>
                <w:rFonts w:ascii="宋体" w:hAnsi="宋体"/>
                <w:color w:val="auto"/>
                <w:szCs w:val="21"/>
                <w:highlight w:val="none"/>
              </w:rPr>
            </w:pPr>
            <w:r>
              <w:rPr>
                <w:rFonts w:hint="eastAsia" w:ascii="宋体" w:hAnsi="宋体"/>
                <w:color w:val="auto"/>
                <w:szCs w:val="21"/>
                <w:highlight w:val="none"/>
              </w:rPr>
              <w:t>类似施工经验年限</w:t>
            </w:r>
          </w:p>
        </w:tc>
        <w:tc>
          <w:tcPr>
            <w:tcW w:w="1830" w:type="dxa"/>
            <w:gridSpan w:val="2"/>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30" w:hRule="atLeast"/>
        </w:trPr>
        <w:tc>
          <w:tcPr>
            <w:tcW w:w="1211" w:type="dxa"/>
            <w:vAlign w:val="center"/>
          </w:tcPr>
          <w:p>
            <w:pPr>
              <w:widowControl/>
              <w:autoSpaceDE w:val="0"/>
              <w:autoSpaceDN w:val="0"/>
              <w:spacing w:line="400" w:lineRule="atLeast"/>
              <w:jc w:val="center"/>
              <w:textAlignment w:val="bottom"/>
              <w:rPr>
                <w:rFonts w:ascii="宋体" w:hAnsi="宋体"/>
                <w:color w:val="auto"/>
                <w:szCs w:val="21"/>
                <w:highlight w:val="none"/>
              </w:rPr>
            </w:pPr>
            <w:r>
              <w:rPr>
                <w:rFonts w:ascii="宋体" w:hAnsi="宋体"/>
                <w:color w:val="auto"/>
                <w:szCs w:val="21"/>
                <w:highlight w:val="none"/>
              </w:rPr>
              <w:t>毕业学校</w:t>
            </w:r>
          </w:p>
        </w:tc>
        <w:tc>
          <w:tcPr>
            <w:tcW w:w="7537" w:type="dxa"/>
            <w:gridSpan w:val="9"/>
            <w:vAlign w:val="center"/>
          </w:tcPr>
          <w:p>
            <w:pPr>
              <w:widowControl/>
              <w:autoSpaceDE w:val="0"/>
              <w:autoSpaceDN w:val="0"/>
              <w:spacing w:line="400" w:lineRule="atLeast"/>
              <w:ind w:left="-187" w:leftChars="-89"/>
              <w:jc w:val="center"/>
              <w:textAlignment w:val="bottom"/>
              <w:rPr>
                <w:rFonts w:ascii="宋体" w:hAnsi="宋体"/>
                <w:color w:val="auto"/>
                <w:szCs w:val="21"/>
                <w:highlight w:val="none"/>
              </w:rPr>
            </w:pPr>
            <w:r>
              <w:rPr>
                <w:rFonts w:ascii="宋体" w:hAnsi="宋体"/>
                <w:color w:val="auto"/>
                <w:szCs w:val="21"/>
                <w:highlight w:val="none"/>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4" w:hRule="atLeast"/>
        </w:trPr>
        <w:tc>
          <w:tcPr>
            <w:tcW w:w="8748" w:type="dxa"/>
            <w:gridSpan w:val="10"/>
            <w:vAlign w:val="center"/>
          </w:tcPr>
          <w:p>
            <w:pPr>
              <w:widowControl/>
              <w:autoSpaceDE w:val="0"/>
              <w:autoSpaceDN w:val="0"/>
              <w:spacing w:line="400" w:lineRule="atLeast"/>
              <w:jc w:val="center"/>
              <w:textAlignment w:val="bottom"/>
              <w:rPr>
                <w:rFonts w:ascii="宋体" w:hAnsi="宋体"/>
                <w:color w:val="auto"/>
                <w:szCs w:val="21"/>
                <w:highlight w:val="none"/>
              </w:rPr>
            </w:pPr>
            <w:r>
              <w:rPr>
                <w:rFonts w:ascii="宋体" w:hAnsi="宋体"/>
                <w:color w:val="auto"/>
                <w:szCs w:val="21"/>
                <w:highlight w:val="none"/>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95" w:hRule="atLeast"/>
        </w:trPr>
        <w:tc>
          <w:tcPr>
            <w:tcW w:w="1260" w:type="dxa"/>
            <w:gridSpan w:val="2"/>
            <w:vAlign w:val="center"/>
          </w:tcPr>
          <w:p>
            <w:pPr>
              <w:widowControl/>
              <w:autoSpaceDE w:val="0"/>
              <w:autoSpaceDN w:val="0"/>
              <w:spacing w:line="400" w:lineRule="atLeast"/>
              <w:jc w:val="center"/>
              <w:textAlignment w:val="bottom"/>
              <w:rPr>
                <w:rFonts w:ascii="宋体" w:hAnsi="宋体"/>
                <w:color w:val="auto"/>
                <w:szCs w:val="21"/>
                <w:highlight w:val="none"/>
              </w:rPr>
            </w:pPr>
            <w:r>
              <w:rPr>
                <w:rFonts w:hint="eastAsia" w:ascii="宋体" w:hAnsi="宋体"/>
                <w:color w:val="auto"/>
                <w:szCs w:val="21"/>
                <w:highlight w:val="none"/>
              </w:rPr>
              <w:t>时间</w:t>
            </w:r>
          </w:p>
        </w:tc>
        <w:tc>
          <w:tcPr>
            <w:tcW w:w="4145" w:type="dxa"/>
            <w:gridSpan w:val="5"/>
            <w:vAlign w:val="center"/>
          </w:tcPr>
          <w:p>
            <w:pPr>
              <w:pStyle w:val="16"/>
              <w:widowControl/>
              <w:adjustRightInd/>
              <w:snapToGrid/>
              <w:spacing w:line="400" w:lineRule="atLeast"/>
              <w:textAlignment w:val="bottom"/>
              <w:rPr>
                <w:rFonts w:ascii="宋体" w:hAnsi="宋体"/>
                <w:color w:val="auto"/>
                <w:spacing w:val="0"/>
                <w:kern w:val="2"/>
                <w:szCs w:val="21"/>
                <w:highlight w:val="none"/>
              </w:rPr>
            </w:pPr>
            <w:r>
              <w:rPr>
                <w:rFonts w:ascii="宋体" w:hAnsi="宋体"/>
                <w:color w:val="auto"/>
                <w:spacing w:val="0"/>
                <w:kern w:val="2"/>
                <w:szCs w:val="21"/>
                <w:highlight w:val="none"/>
              </w:rPr>
              <w:t>参加过的</w:t>
            </w:r>
            <w:r>
              <w:rPr>
                <w:rFonts w:hint="eastAsia" w:ascii="宋体" w:hAnsi="宋体"/>
                <w:color w:val="auto"/>
                <w:spacing w:val="0"/>
                <w:kern w:val="2"/>
                <w:szCs w:val="21"/>
                <w:highlight w:val="none"/>
              </w:rPr>
              <w:t>类似</w:t>
            </w:r>
            <w:r>
              <w:rPr>
                <w:rFonts w:ascii="宋体" w:hAnsi="宋体"/>
                <w:color w:val="auto"/>
                <w:spacing w:val="0"/>
                <w:kern w:val="2"/>
                <w:szCs w:val="21"/>
                <w:highlight w:val="none"/>
              </w:rPr>
              <w:t>工程项目名称</w:t>
            </w:r>
          </w:p>
        </w:tc>
        <w:tc>
          <w:tcPr>
            <w:tcW w:w="1889" w:type="dxa"/>
            <w:gridSpan w:val="2"/>
            <w:vAlign w:val="center"/>
          </w:tcPr>
          <w:p>
            <w:pPr>
              <w:pStyle w:val="16"/>
              <w:widowControl/>
              <w:adjustRightInd/>
              <w:snapToGrid/>
              <w:spacing w:line="400" w:lineRule="atLeast"/>
              <w:textAlignment w:val="bottom"/>
              <w:rPr>
                <w:rFonts w:ascii="宋体" w:hAnsi="宋体"/>
                <w:color w:val="auto"/>
                <w:spacing w:val="0"/>
                <w:kern w:val="2"/>
                <w:szCs w:val="21"/>
                <w:highlight w:val="none"/>
              </w:rPr>
            </w:pPr>
            <w:r>
              <w:rPr>
                <w:rFonts w:ascii="宋体" w:hAnsi="宋体"/>
                <w:color w:val="auto"/>
                <w:spacing w:val="0"/>
                <w:kern w:val="2"/>
                <w:szCs w:val="21"/>
                <w:highlight w:val="none"/>
              </w:rPr>
              <w:t>担任</w:t>
            </w:r>
            <w:r>
              <w:rPr>
                <w:rFonts w:hint="eastAsia" w:ascii="宋体" w:hAnsi="宋体"/>
                <w:color w:val="auto"/>
                <w:spacing w:val="0"/>
                <w:kern w:val="2"/>
                <w:szCs w:val="21"/>
                <w:highlight w:val="none"/>
              </w:rPr>
              <w:t>职务</w:t>
            </w:r>
          </w:p>
        </w:tc>
        <w:tc>
          <w:tcPr>
            <w:tcW w:w="1454" w:type="dxa"/>
            <w:vAlign w:val="center"/>
          </w:tcPr>
          <w:p>
            <w:pPr>
              <w:widowControl/>
              <w:autoSpaceDE w:val="0"/>
              <w:autoSpaceDN w:val="0"/>
              <w:spacing w:line="400" w:lineRule="atLeast"/>
              <w:jc w:val="center"/>
              <w:textAlignment w:val="bottom"/>
              <w:rPr>
                <w:rFonts w:ascii="宋体" w:hAnsi="宋体"/>
                <w:color w:val="auto"/>
                <w:szCs w:val="21"/>
                <w:highlight w:val="none"/>
              </w:rPr>
            </w:pPr>
            <w:r>
              <w:rPr>
                <w:rFonts w:ascii="宋体" w:hAnsi="宋体"/>
                <w:color w:val="auto"/>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4" w:hRule="atLeast"/>
        </w:trPr>
        <w:tc>
          <w:tcPr>
            <w:tcW w:w="1260" w:type="dxa"/>
            <w:gridSpan w:val="2"/>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4145" w:type="dxa"/>
            <w:gridSpan w:val="5"/>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889" w:type="dxa"/>
            <w:gridSpan w:val="2"/>
            <w:vAlign w:val="top"/>
          </w:tcPr>
          <w:p>
            <w:pPr>
              <w:widowControl/>
              <w:autoSpaceDE w:val="0"/>
              <w:autoSpaceDN w:val="0"/>
              <w:spacing w:line="400" w:lineRule="atLeast"/>
              <w:textAlignment w:val="bottom"/>
              <w:rPr>
                <w:rFonts w:ascii="宋体" w:hAnsi="宋体"/>
                <w:color w:val="auto"/>
                <w:szCs w:val="21"/>
                <w:highlight w:val="none"/>
              </w:rPr>
            </w:pPr>
          </w:p>
        </w:tc>
        <w:tc>
          <w:tcPr>
            <w:tcW w:w="1454" w:type="dxa"/>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1" w:hRule="atLeast"/>
        </w:trPr>
        <w:tc>
          <w:tcPr>
            <w:tcW w:w="1260" w:type="dxa"/>
            <w:gridSpan w:val="2"/>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4145" w:type="dxa"/>
            <w:gridSpan w:val="5"/>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889" w:type="dxa"/>
            <w:gridSpan w:val="2"/>
            <w:vAlign w:val="top"/>
          </w:tcPr>
          <w:p>
            <w:pPr>
              <w:widowControl/>
              <w:autoSpaceDE w:val="0"/>
              <w:autoSpaceDN w:val="0"/>
              <w:spacing w:line="400" w:lineRule="atLeast"/>
              <w:textAlignment w:val="bottom"/>
              <w:rPr>
                <w:rFonts w:ascii="宋体" w:hAnsi="宋体"/>
                <w:color w:val="auto"/>
                <w:szCs w:val="21"/>
                <w:highlight w:val="none"/>
              </w:rPr>
            </w:pPr>
          </w:p>
        </w:tc>
        <w:tc>
          <w:tcPr>
            <w:tcW w:w="1454" w:type="dxa"/>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4" w:hRule="atLeast"/>
        </w:trPr>
        <w:tc>
          <w:tcPr>
            <w:tcW w:w="1260" w:type="dxa"/>
            <w:gridSpan w:val="2"/>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4145" w:type="dxa"/>
            <w:gridSpan w:val="5"/>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889" w:type="dxa"/>
            <w:gridSpan w:val="2"/>
            <w:vAlign w:val="top"/>
          </w:tcPr>
          <w:p>
            <w:pPr>
              <w:widowControl/>
              <w:autoSpaceDE w:val="0"/>
              <w:autoSpaceDN w:val="0"/>
              <w:spacing w:line="400" w:lineRule="atLeast"/>
              <w:textAlignment w:val="bottom"/>
              <w:rPr>
                <w:rFonts w:ascii="宋体" w:hAnsi="宋体"/>
                <w:color w:val="auto"/>
                <w:szCs w:val="21"/>
                <w:highlight w:val="none"/>
              </w:rPr>
            </w:pPr>
          </w:p>
        </w:tc>
        <w:tc>
          <w:tcPr>
            <w:tcW w:w="1454" w:type="dxa"/>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4" w:hRule="atLeast"/>
        </w:trPr>
        <w:tc>
          <w:tcPr>
            <w:tcW w:w="1260" w:type="dxa"/>
            <w:gridSpan w:val="2"/>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4145" w:type="dxa"/>
            <w:gridSpan w:val="5"/>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889" w:type="dxa"/>
            <w:gridSpan w:val="2"/>
            <w:vAlign w:val="top"/>
          </w:tcPr>
          <w:p>
            <w:pPr>
              <w:widowControl/>
              <w:autoSpaceDE w:val="0"/>
              <w:autoSpaceDN w:val="0"/>
              <w:spacing w:line="400" w:lineRule="atLeast"/>
              <w:textAlignment w:val="bottom"/>
              <w:rPr>
                <w:rFonts w:ascii="宋体" w:hAnsi="宋体"/>
                <w:color w:val="auto"/>
                <w:szCs w:val="21"/>
                <w:highlight w:val="none"/>
              </w:rPr>
            </w:pPr>
          </w:p>
        </w:tc>
        <w:tc>
          <w:tcPr>
            <w:tcW w:w="1454" w:type="dxa"/>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1" w:hRule="atLeast"/>
        </w:trPr>
        <w:tc>
          <w:tcPr>
            <w:tcW w:w="1260" w:type="dxa"/>
            <w:gridSpan w:val="2"/>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4145" w:type="dxa"/>
            <w:gridSpan w:val="5"/>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889" w:type="dxa"/>
            <w:gridSpan w:val="2"/>
            <w:vAlign w:val="top"/>
          </w:tcPr>
          <w:p>
            <w:pPr>
              <w:widowControl/>
              <w:autoSpaceDE w:val="0"/>
              <w:autoSpaceDN w:val="0"/>
              <w:spacing w:line="400" w:lineRule="atLeast"/>
              <w:textAlignment w:val="bottom"/>
              <w:rPr>
                <w:rFonts w:ascii="宋体" w:hAnsi="宋体"/>
                <w:color w:val="auto"/>
                <w:szCs w:val="21"/>
                <w:highlight w:val="none"/>
              </w:rPr>
            </w:pPr>
          </w:p>
        </w:tc>
        <w:tc>
          <w:tcPr>
            <w:tcW w:w="1454" w:type="dxa"/>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4" w:hRule="atLeast"/>
        </w:trPr>
        <w:tc>
          <w:tcPr>
            <w:tcW w:w="1260" w:type="dxa"/>
            <w:gridSpan w:val="2"/>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4145" w:type="dxa"/>
            <w:gridSpan w:val="5"/>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889" w:type="dxa"/>
            <w:gridSpan w:val="2"/>
            <w:vAlign w:val="top"/>
          </w:tcPr>
          <w:p>
            <w:pPr>
              <w:widowControl/>
              <w:autoSpaceDE w:val="0"/>
              <w:autoSpaceDN w:val="0"/>
              <w:spacing w:line="400" w:lineRule="atLeast"/>
              <w:textAlignment w:val="bottom"/>
              <w:rPr>
                <w:rFonts w:ascii="宋体" w:hAnsi="宋体"/>
                <w:color w:val="auto"/>
                <w:szCs w:val="21"/>
                <w:highlight w:val="none"/>
              </w:rPr>
            </w:pPr>
          </w:p>
        </w:tc>
        <w:tc>
          <w:tcPr>
            <w:tcW w:w="1454" w:type="dxa"/>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1" w:hRule="atLeast"/>
        </w:trPr>
        <w:tc>
          <w:tcPr>
            <w:tcW w:w="1260" w:type="dxa"/>
            <w:gridSpan w:val="2"/>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4145" w:type="dxa"/>
            <w:gridSpan w:val="5"/>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889" w:type="dxa"/>
            <w:gridSpan w:val="2"/>
            <w:vAlign w:val="top"/>
          </w:tcPr>
          <w:p>
            <w:pPr>
              <w:widowControl/>
              <w:autoSpaceDE w:val="0"/>
              <w:autoSpaceDN w:val="0"/>
              <w:spacing w:line="400" w:lineRule="atLeast"/>
              <w:textAlignment w:val="bottom"/>
              <w:rPr>
                <w:rFonts w:ascii="宋体" w:hAnsi="宋体"/>
                <w:color w:val="auto"/>
                <w:szCs w:val="21"/>
                <w:highlight w:val="none"/>
              </w:rPr>
            </w:pPr>
          </w:p>
        </w:tc>
        <w:tc>
          <w:tcPr>
            <w:tcW w:w="1454" w:type="dxa"/>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4" w:hRule="atLeast"/>
        </w:trPr>
        <w:tc>
          <w:tcPr>
            <w:tcW w:w="1260" w:type="dxa"/>
            <w:gridSpan w:val="2"/>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4145" w:type="dxa"/>
            <w:gridSpan w:val="5"/>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889" w:type="dxa"/>
            <w:gridSpan w:val="2"/>
            <w:vAlign w:val="top"/>
          </w:tcPr>
          <w:p>
            <w:pPr>
              <w:widowControl/>
              <w:autoSpaceDE w:val="0"/>
              <w:autoSpaceDN w:val="0"/>
              <w:spacing w:line="400" w:lineRule="atLeast"/>
              <w:textAlignment w:val="bottom"/>
              <w:rPr>
                <w:rFonts w:ascii="宋体" w:hAnsi="宋体"/>
                <w:color w:val="auto"/>
                <w:szCs w:val="21"/>
                <w:highlight w:val="none"/>
              </w:rPr>
            </w:pPr>
          </w:p>
        </w:tc>
        <w:tc>
          <w:tcPr>
            <w:tcW w:w="1454" w:type="dxa"/>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4" w:hRule="atLeast"/>
        </w:trPr>
        <w:tc>
          <w:tcPr>
            <w:tcW w:w="1260" w:type="dxa"/>
            <w:gridSpan w:val="2"/>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4145" w:type="dxa"/>
            <w:gridSpan w:val="5"/>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889" w:type="dxa"/>
            <w:gridSpan w:val="2"/>
            <w:vAlign w:val="top"/>
          </w:tcPr>
          <w:p>
            <w:pPr>
              <w:widowControl/>
              <w:autoSpaceDE w:val="0"/>
              <w:autoSpaceDN w:val="0"/>
              <w:spacing w:line="400" w:lineRule="atLeast"/>
              <w:textAlignment w:val="bottom"/>
              <w:rPr>
                <w:rFonts w:ascii="宋体" w:hAnsi="宋体"/>
                <w:color w:val="auto"/>
                <w:szCs w:val="21"/>
                <w:highlight w:val="none"/>
              </w:rPr>
            </w:pPr>
          </w:p>
        </w:tc>
        <w:tc>
          <w:tcPr>
            <w:tcW w:w="1454" w:type="dxa"/>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2420" w:type="dxa"/>
            <w:gridSpan w:val="3"/>
            <w:vAlign w:val="center"/>
          </w:tcPr>
          <w:p>
            <w:pPr>
              <w:widowControl/>
              <w:autoSpaceDE w:val="0"/>
              <w:autoSpaceDN w:val="0"/>
              <w:spacing w:line="400" w:lineRule="atLeast"/>
              <w:jc w:val="center"/>
              <w:textAlignment w:val="bottom"/>
              <w:rPr>
                <w:rFonts w:ascii="宋体" w:hAnsi="宋体"/>
                <w:color w:val="auto"/>
                <w:szCs w:val="21"/>
                <w:highlight w:val="none"/>
              </w:rPr>
            </w:pPr>
            <w:r>
              <w:rPr>
                <w:rFonts w:ascii="宋体" w:hAnsi="宋体"/>
                <w:color w:val="auto"/>
                <w:szCs w:val="21"/>
                <w:highlight w:val="none"/>
              </w:rPr>
              <w:t>获奖情况</w:t>
            </w:r>
          </w:p>
        </w:tc>
        <w:tc>
          <w:tcPr>
            <w:tcW w:w="6328" w:type="dxa"/>
            <w:gridSpan w:val="7"/>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420" w:type="dxa"/>
            <w:gridSpan w:val="3"/>
            <w:vAlign w:val="top"/>
          </w:tcPr>
          <w:p>
            <w:pPr>
              <w:widowControl/>
              <w:autoSpaceDE w:val="0"/>
              <w:autoSpaceDN w:val="0"/>
              <w:spacing w:line="400" w:lineRule="atLeast"/>
              <w:jc w:val="center"/>
              <w:textAlignment w:val="bottom"/>
              <w:rPr>
                <w:rFonts w:ascii="宋体" w:hAnsi="宋体"/>
                <w:color w:val="auto"/>
                <w:szCs w:val="21"/>
                <w:highlight w:val="none"/>
              </w:rPr>
            </w:pPr>
            <w:r>
              <w:rPr>
                <w:rFonts w:ascii="宋体" w:hAnsi="宋体"/>
                <w:color w:val="auto"/>
                <w:szCs w:val="21"/>
                <w:highlight w:val="none"/>
              </w:rPr>
              <w:t>备     注</w:t>
            </w:r>
          </w:p>
        </w:tc>
        <w:tc>
          <w:tcPr>
            <w:tcW w:w="6328" w:type="dxa"/>
            <w:gridSpan w:val="7"/>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748" w:type="dxa"/>
            <w:gridSpan w:val="10"/>
            <w:vAlign w:val="top"/>
          </w:tcPr>
          <w:p>
            <w:pPr>
              <w:widowControl/>
              <w:autoSpaceDE w:val="0"/>
              <w:autoSpaceDN w:val="0"/>
              <w:spacing w:line="400" w:lineRule="atLeast"/>
              <w:textAlignment w:val="bottom"/>
              <w:rPr>
                <w:rFonts w:hint="eastAsia" w:ascii="宋体" w:hAnsi="宋体" w:eastAsia="宋体"/>
                <w:color w:val="auto"/>
                <w:szCs w:val="21"/>
                <w:highlight w:val="none"/>
                <w:lang w:val="en-US" w:eastAsia="zh-CN"/>
              </w:rPr>
            </w:pPr>
            <w:r>
              <w:rPr>
                <w:rFonts w:hint="eastAsia" w:ascii="宋体" w:hAnsi="宋体"/>
                <w:color w:val="auto"/>
                <w:szCs w:val="21"/>
                <w:highlight w:val="none"/>
                <w:lang w:eastAsia="zh-CN"/>
              </w:rPr>
              <w:t>本人</w:t>
            </w:r>
            <w:r>
              <w:rPr>
                <w:rFonts w:hint="eastAsia" w:ascii="宋体" w:hAnsi="宋体"/>
                <w:color w:val="auto"/>
                <w:szCs w:val="21"/>
                <w:highlight w:val="none"/>
                <w:u w:val="single"/>
                <w:lang w:val="en-US" w:eastAsia="zh-CN"/>
              </w:rPr>
              <w:t xml:space="preserve">          （亲笔签名）</w:t>
            </w:r>
            <w:r>
              <w:rPr>
                <w:rFonts w:hint="eastAsia" w:ascii="宋体" w:hAnsi="宋体"/>
                <w:color w:val="auto"/>
                <w:szCs w:val="21"/>
                <w:highlight w:val="none"/>
                <w:lang w:val="en-US" w:eastAsia="zh-CN"/>
              </w:rPr>
              <w:t>已经知晓自己为本项目</w:t>
            </w:r>
            <w:r>
              <w:rPr>
                <w:rFonts w:hint="eastAsia" w:ascii="宋体" w:hAnsi="宋体"/>
                <w:color w:val="auto"/>
                <w:szCs w:val="21"/>
                <w:highlight w:val="none"/>
                <w:u w:val="single"/>
                <w:lang w:val="en-US" w:eastAsia="zh-CN"/>
              </w:rPr>
              <w:t xml:space="preserve">         （填写项目经理或总工）</w:t>
            </w:r>
            <w:r>
              <w:rPr>
                <w:rFonts w:hint="eastAsia" w:ascii="宋体" w:hAnsi="宋体"/>
                <w:color w:val="auto"/>
                <w:szCs w:val="21"/>
                <w:highlight w:val="none"/>
                <w:lang w:val="en-US" w:eastAsia="zh-CN"/>
              </w:rPr>
              <w:t>，并对真实性负责。</w:t>
            </w:r>
          </w:p>
        </w:tc>
      </w:tr>
    </w:tbl>
    <w:p>
      <w:pPr>
        <w:widowControl/>
        <w:jc w:val="left"/>
        <w:rPr>
          <w:rFonts w:hint="eastAsia" w:ascii="宋体" w:hAnsi="宋体"/>
          <w:color w:val="auto"/>
          <w:sz w:val="18"/>
          <w:szCs w:val="18"/>
          <w:highlight w:val="none"/>
        </w:rPr>
      </w:pPr>
    </w:p>
    <w:p>
      <w:pPr>
        <w:widowControl/>
        <w:tabs>
          <w:tab w:val="left" w:pos="426"/>
        </w:tabs>
        <w:jc w:val="left"/>
        <w:rPr>
          <w:rFonts w:hint="eastAsia" w:ascii="宋体" w:hAnsi="宋体"/>
          <w:color w:val="auto"/>
          <w:sz w:val="18"/>
          <w:szCs w:val="18"/>
          <w:highlight w:val="none"/>
        </w:rPr>
      </w:pPr>
      <w:r>
        <w:rPr>
          <w:rFonts w:hint="eastAsia" w:ascii="宋体" w:hAnsi="宋体"/>
          <w:color w:val="auto"/>
          <w:sz w:val="18"/>
          <w:szCs w:val="18"/>
          <w:highlight w:val="none"/>
        </w:rPr>
        <w:t>注：1.本表后应填写项目经理（以及备选人，如有）和项目总工（以及备选人，如有）相关情况。</w:t>
      </w:r>
    </w:p>
    <w:p>
      <w:pPr>
        <w:numPr>
          <w:ilvl w:val="0"/>
          <w:numId w:val="4"/>
        </w:numPr>
        <w:rPr>
          <w:rFonts w:hint="eastAsia" w:ascii="宋体" w:hAnsi="宋体"/>
          <w:color w:val="auto"/>
          <w:sz w:val="18"/>
          <w:szCs w:val="18"/>
          <w:highlight w:val="none"/>
        </w:rPr>
      </w:pPr>
      <w:r>
        <w:rPr>
          <w:rFonts w:hint="eastAsia" w:ascii="宋体" w:hAnsi="宋体"/>
          <w:color w:val="auto"/>
          <w:sz w:val="18"/>
          <w:szCs w:val="18"/>
          <w:highlight w:val="none"/>
          <w:lang w:eastAsia="zh-CN"/>
        </w:rPr>
        <w:t>投标</w:t>
      </w:r>
      <w:r>
        <w:rPr>
          <w:rFonts w:hint="eastAsia" w:ascii="宋体" w:hAnsi="宋体"/>
          <w:color w:val="auto"/>
          <w:sz w:val="18"/>
          <w:szCs w:val="18"/>
          <w:highlight w:val="none"/>
        </w:rPr>
        <w:t>人应根据第二章</w:t>
      </w:r>
      <w:r>
        <w:rPr>
          <w:rFonts w:hint="eastAsia" w:ascii="宋体" w:hAnsi="宋体"/>
          <w:color w:val="auto"/>
          <w:sz w:val="18"/>
          <w:szCs w:val="18"/>
          <w:highlight w:val="none"/>
          <w:lang w:eastAsia="zh-CN"/>
        </w:rPr>
        <w:t>投标</w:t>
      </w:r>
      <w:r>
        <w:rPr>
          <w:rFonts w:hint="eastAsia" w:ascii="宋体" w:hAnsi="宋体"/>
          <w:color w:val="auto"/>
          <w:sz w:val="18"/>
          <w:szCs w:val="18"/>
          <w:highlight w:val="none"/>
        </w:rPr>
        <w:t>人须知第3.</w:t>
      </w:r>
      <w:r>
        <w:rPr>
          <w:rFonts w:hint="eastAsia" w:ascii="宋体" w:hAnsi="宋体"/>
          <w:color w:val="auto"/>
          <w:sz w:val="18"/>
          <w:szCs w:val="18"/>
          <w:highlight w:val="none"/>
          <w:lang w:val="en-US" w:eastAsia="zh-CN"/>
        </w:rPr>
        <w:t>5.5</w:t>
      </w:r>
      <w:r>
        <w:rPr>
          <w:rFonts w:hint="eastAsia" w:ascii="宋体" w:hAnsi="宋体"/>
          <w:color w:val="auto"/>
          <w:sz w:val="18"/>
          <w:szCs w:val="18"/>
          <w:highlight w:val="none"/>
        </w:rPr>
        <w:t>项的要求在本表后附相关证明材料。</w:t>
      </w:r>
    </w:p>
    <w:p>
      <w:pPr>
        <w:spacing w:line="360" w:lineRule="auto"/>
        <w:ind w:firstLine="482" w:firstLineChars="200"/>
        <w:rPr>
          <w:rFonts w:hint="eastAsia" w:ascii="仿宋_GB2312" w:hAnsi="仿宋_GB2312" w:eastAsia="仿宋_GB2312" w:cs="仿宋_GB2312"/>
          <w:b/>
          <w:bCs/>
          <w:color w:val="auto"/>
          <w:sz w:val="24"/>
          <w:szCs w:val="24"/>
          <w:highlight w:val="none"/>
          <w:lang w:val="en-US" w:eastAsia="zh-CN"/>
        </w:rPr>
      </w:pPr>
      <w:bookmarkStart w:id="5" w:name="_GoBack"/>
      <w:bookmarkEnd w:id="5"/>
    </w:p>
    <w:p>
      <w:pPr>
        <w:spacing w:line="360" w:lineRule="auto"/>
        <w:ind w:firstLine="482" w:firstLineChars="200"/>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在投标文件（第二信封：报价文件）格式中视情况添加：</w:t>
      </w:r>
    </w:p>
    <w:p>
      <w:pPr>
        <w:spacing w:line="360" w:lineRule="auto"/>
        <w:ind w:firstLine="480" w:firstLineChars="20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四、其他材料（若设置了材料合理性评审）</w:t>
      </w:r>
    </w:p>
    <w:p>
      <w:pPr>
        <w:spacing w:line="360" w:lineRule="auto"/>
        <w:ind w:firstLine="480" w:firstLineChars="20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1、招标人认为需要的其他内容（如材料合理性的相关的分析依据、证明材料）</w:t>
      </w:r>
    </w:p>
    <w:p>
      <w:pPr>
        <w:pStyle w:val="2"/>
        <w:numPr>
          <w:ilvl w:val="0"/>
          <w:numId w:val="0"/>
        </w:numPr>
        <w:rPr>
          <w:rFonts w:hint="eastAsia"/>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Wingdings 2">
    <w:panose1 w:val="05020102010507070707"/>
    <w:charset w:val="02"/>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MingLiU_HKSCS">
    <w:panose1 w:val="02020500000000000000"/>
    <w:charset w:val="88"/>
    <w:family w:val="roman"/>
    <w:pitch w:val="default"/>
    <w:sig w:usb0="A00002FF" w:usb1="3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隶书">
    <w:panose1 w:val="02010509060101010101"/>
    <w:charset w:val="86"/>
    <w:family w:val="modern"/>
    <w:pitch w:val="default"/>
    <w:sig w:usb0="00000001" w:usb1="080E0000" w:usb2="00000000" w:usb3="00000000" w:csb0="00040000" w:csb1="00000000"/>
  </w:font>
  <w:font w:name="PMingLiUfalt">
    <w:altName w:val="MingLiU-ExtB"/>
    <w:panose1 w:val="00000000000000000000"/>
    <w:charset w:val="88"/>
    <w:family w:val="roman"/>
    <w:pitch w:val="default"/>
    <w:sig w:usb0="00000000" w:usb1="00000000" w:usb2="00000010" w:usb3="00000000" w:csb0="00100000" w:csb1="00000000"/>
  </w:font>
  <w:font w:name="PMingLiU">
    <w:panose1 w:val="02020500000000000000"/>
    <w:charset w:val="88"/>
    <w:family w:val="roman"/>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Comic Sans MS">
    <w:panose1 w:val="030F0702030302020204"/>
    <w:charset w:val="00"/>
    <w:family w:val="script"/>
    <w:pitch w:val="default"/>
    <w:sig w:usb0="00000287" w:usb1="00000000" w:usb2="00000000" w:usb3="00000000" w:csb0="2000009F" w:csb1="00000000"/>
  </w:font>
  <w:font w:name="方正宋三简体">
    <w:altName w:val="宋体"/>
    <w:panose1 w:val="02010601030101010101"/>
    <w:charset w:val="86"/>
    <w:family w:val="auto"/>
    <w:pitch w:val="default"/>
    <w:sig w:usb0="00000000" w:usb1="00000000" w:usb2="00000010" w:usb3="00000000" w:csb0="00040000" w:csb1="00000000"/>
  </w:font>
  <w:font w:name="方正黑体_GBK">
    <w:altName w:val="黑体"/>
    <w:panose1 w:val="00000000000000000000"/>
    <w:charset w:val="86"/>
    <w:family w:val="script"/>
    <w:pitch w:val="default"/>
    <w:sig w:usb0="00000000" w:usb1="00000000" w:usb2="00000010" w:usb3="00000000" w:csb0="00040000" w:csb1="00000000"/>
  </w:font>
  <w:font w:name="创艺简老宋">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宋体-18030">
    <w:altName w:val="宋体"/>
    <w:panose1 w:val="00000000000000000000"/>
    <w:charset w:val="86"/>
    <w:family w:val="modern"/>
    <w:pitch w:val="default"/>
    <w:sig w:usb0="00000000" w:usb1="00000000" w:usb2="000A005E" w:usb3="00000000" w:csb0="00040001" w:csb1="00000000"/>
  </w:font>
  <w:font w:name="华文中宋">
    <w:panose1 w:val="02010600040101010101"/>
    <w:charset w:val="86"/>
    <w:family w:val="auto"/>
    <w:pitch w:val="default"/>
    <w:sig w:usb0="00000287" w:usb1="080F0000" w:usb2="00000000" w:usb3="00000000" w:csb0="0004009F" w:csb1="DFD70000"/>
  </w:font>
  <w:font w:name="Garamond">
    <w:altName w:val="PMingLiU-ExtB"/>
    <w:panose1 w:val="02020404030301010803"/>
    <w:charset w:val="00"/>
    <w:family w:val="roman"/>
    <w:pitch w:val="default"/>
    <w:sig w:usb0="00000000" w:usb1="00000000" w:usb2="00000000" w:usb3="00000000" w:csb0="0000009F" w:csb1="00000000"/>
  </w:font>
  <w:font w:name="@宋体">
    <w:panose1 w:val="02010600030101010101"/>
    <w:charset w:val="86"/>
    <w:family w:val="auto"/>
    <w:pitch w:val="default"/>
    <w:sig w:usb0="00000003" w:usb1="288F0000" w:usb2="00000006" w:usb3="00000000" w:csb0="00040001" w:csb1="00000000"/>
  </w:font>
  <w:font w:name="创艺简黑体">
    <w:altName w:val="黑体"/>
    <w:panose1 w:val="00000000000000000000"/>
    <w:charset w:val="86"/>
    <w:family w:val="auto"/>
    <w:pitch w:val="default"/>
    <w:sig w:usb0="00000000" w:usb1="00000000" w:usb2="00000010" w:usb3="00000000" w:csb0="00040000" w:csb1="00000000"/>
  </w:font>
  <w:font w:name="@昆仑仿宋">
    <w:altName w:val="@黑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黑体">
    <w:panose1 w:val="02010609060101010101"/>
    <w:charset w:val="86"/>
    <w:family w:val="modern"/>
    <w:pitch w:val="default"/>
    <w:sig w:usb0="800002BF" w:usb1="38CF7CFA" w:usb2="00000016" w:usb3="00000000" w:csb0="00040001" w:csb1="00000000"/>
  </w:font>
  <w:font w:name="Century Gothic">
    <w:altName w:val="Century"/>
    <w:panose1 w:val="020B0502020202020204"/>
    <w:charset w:val="00"/>
    <w:family w:val="swiss"/>
    <w:pitch w:val="default"/>
    <w:sig w:usb0="00000000" w:usb1="00000000" w:usb2="00000000" w:usb3="00000000" w:csb0="0000009F" w:csb1="00000000"/>
  </w:font>
  <w:font w:name="Plotter">
    <w:altName w:val="Times New Roman"/>
    <w:panose1 w:val="00000000000000000000"/>
    <w:charset w:val="00"/>
    <w:family w:val="roman"/>
    <w:pitch w:val="default"/>
    <w:sig w:usb0="00000000" w:usb1="00000000" w:usb2="00000000"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黑_GBK">
    <w:altName w:val="黑体"/>
    <w:panose1 w:val="00000000000000000000"/>
    <w:charset w:val="86"/>
    <w:family w:val="script"/>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PMingLiU-ExtB">
    <w:panose1 w:val="02020500000000000000"/>
    <w:charset w:val="88"/>
    <w:family w:val="auto"/>
    <w:pitch w:val="default"/>
    <w:sig w:usb0="8000002F" w:usb1="02000008" w:usb2="00000000" w:usb3="00000000" w:csb0="00100001" w:csb1="00000000"/>
  </w:font>
  <w:font w:name="Century">
    <w:panose1 w:val="020406040505050203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12CB2"/>
    <w:multiLevelType w:val="singleLevel"/>
    <w:tmpl w:val="5F812CB2"/>
    <w:lvl w:ilvl="0" w:tentative="0">
      <w:start w:val="9"/>
      <w:numFmt w:val="decimal"/>
      <w:suff w:val="nothing"/>
      <w:lvlText w:val="（%1）"/>
      <w:lvlJc w:val="left"/>
    </w:lvl>
  </w:abstractNum>
  <w:abstractNum w:abstractNumId="1">
    <w:nsid w:val="614FE650"/>
    <w:multiLevelType w:val="singleLevel"/>
    <w:tmpl w:val="614FE650"/>
    <w:lvl w:ilvl="0" w:tentative="0">
      <w:start w:val="4"/>
      <w:numFmt w:val="decimal"/>
      <w:suff w:val="nothing"/>
      <w:lvlText w:val="（%1）"/>
      <w:lvlJc w:val="left"/>
    </w:lvl>
  </w:abstractNum>
  <w:abstractNum w:abstractNumId="2">
    <w:nsid w:val="6152FA46"/>
    <w:multiLevelType w:val="singleLevel"/>
    <w:tmpl w:val="6152FA46"/>
    <w:lvl w:ilvl="0" w:tentative="0">
      <w:start w:val="2"/>
      <w:numFmt w:val="decimal"/>
      <w:suff w:val="nothing"/>
      <w:lvlText w:val="%1."/>
      <w:lvlJc w:val="left"/>
    </w:lvl>
  </w:abstractNum>
  <w:abstractNum w:abstractNumId="3">
    <w:nsid w:val="7D3E236A"/>
    <w:multiLevelType w:val="multilevel"/>
    <w:tmpl w:val="7D3E236A"/>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306EF"/>
    <w:rsid w:val="017B77C1"/>
    <w:rsid w:val="09407E1A"/>
    <w:rsid w:val="0A504AB5"/>
    <w:rsid w:val="0C414874"/>
    <w:rsid w:val="0C8D7679"/>
    <w:rsid w:val="0CE010DF"/>
    <w:rsid w:val="0D6732DB"/>
    <w:rsid w:val="0FFD1E5F"/>
    <w:rsid w:val="10C1546A"/>
    <w:rsid w:val="14F74B55"/>
    <w:rsid w:val="17E1675B"/>
    <w:rsid w:val="1E2B7DB2"/>
    <w:rsid w:val="1FA67195"/>
    <w:rsid w:val="24BB1D58"/>
    <w:rsid w:val="24E167DA"/>
    <w:rsid w:val="2851646E"/>
    <w:rsid w:val="28D0506D"/>
    <w:rsid w:val="2D0C1BC4"/>
    <w:rsid w:val="2D565E84"/>
    <w:rsid w:val="2EC306EF"/>
    <w:rsid w:val="40E125ED"/>
    <w:rsid w:val="422D6BF7"/>
    <w:rsid w:val="45A37355"/>
    <w:rsid w:val="47324759"/>
    <w:rsid w:val="4A85572F"/>
    <w:rsid w:val="4CB45FE1"/>
    <w:rsid w:val="4E9D6920"/>
    <w:rsid w:val="4EB40235"/>
    <w:rsid w:val="4FC234CE"/>
    <w:rsid w:val="4FF03C45"/>
    <w:rsid w:val="545830C7"/>
    <w:rsid w:val="55F85B56"/>
    <w:rsid w:val="57BA7D7B"/>
    <w:rsid w:val="5A6B1D04"/>
    <w:rsid w:val="5BAA0B92"/>
    <w:rsid w:val="5BBB5D85"/>
    <w:rsid w:val="5F3C432A"/>
    <w:rsid w:val="60623DC9"/>
    <w:rsid w:val="63B25D0F"/>
    <w:rsid w:val="658B5F98"/>
    <w:rsid w:val="68784A3C"/>
    <w:rsid w:val="6B0C1F48"/>
    <w:rsid w:val="6B212365"/>
    <w:rsid w:val="6BAB2E4B"/>
    <w:rsid w:val="6E015C78"/>
    <w:rsid w:val="70544539"/>
    <w:rsid w:val="70B46E68"/>
    <w:rsid w:val="711E734C"/>
    <w:rsid w:val="75B91CD8"/>
    <w:rsid w:val="76466755"/>
    <w:rsid w:val="76785521"/>
    <w:rsid w:val="769E26FE"/>
    <w:rsid w:val="79D3376C"/>
    <w:rsid w:val="7A746D9D"/>
    <w:rsid w:val="7B521D3F"/>
    <w:rsid w:val="7BDF0D73"/>
    <w:rsid w:val="7FFD0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ind w:firstLine="2125" w:firstLineChars="882"/>
      <w:outlineLvl w:val="1"/>
    </w:pPr>
    <w:rPr>
      <w:rFonts w:ascii="宋体" w:hAnsi="宋体"/>
      <w:b/>
      <w:sz w:val="24"/>
    </w:rPr>
  </w:style>
  <w:style w:type="paragraph" w:styleId="4">
    <w:name w:val="heading 3"/>
    <w:basedOn w:val="3"/>
    <w:next w:val="1"/>
    <w:unhideWhenUsed/>
    <w:qFormat/>
    <w:uiPriority w:val="0"/>
    <w:pPr>
      <w:keepNext/>
      <w:keepLines/>
      <w:numPr>
        <w:ilvl w:val="2"/>
        <w:numId w:val="1"/>
      </w:numPr>
      <w:tabs>
        <w:tab w:val="left" w:pos="720"/>
      </w:tabs>
      <w:spacing w:before="100" w:beforeAutospacing="1" w:after="100" w:afterAutospacing="1"/>
      <w:outlineLvl w:val="2"/>
    </w:pPr>
    <w:rPr>
      <w:rFonts w:ascii="Times New Roman" w:hAnsi="Times New Roman"/>
      <w:bCs/>
      <w:kern w:val="0"/>
      <w:sz w:val="28"/>
      <w:szCs w:val="32"/>
    </w:rPr>
  </w:style>
  <w:style w:type="paragraph" w:styleId="5">
    <w:name w:val="heading 4"/>
    <w:basedOn w:val="1"/>
    <w:next w:val="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6">
    <w:name w:val="annotation text"/>
    <w:basedOn w:val="1"/>
    <w:qFormat/>
    <w:uiPriority w:val="0"/>
    <w:pPr>
      <w:jc w:val="left"/>
    </w:pPr>
  </w:style>
  <w:style w:type="paragraph" w:styleId="7">
    <w:name w:val="Body Text 3"/>
    <w:basedOn w:val="1"/>
    <w:qFormat/>
    <w:uiPriority w:val="0"/>
    <w:pPr>
      <w:jc w:val="both"/>
    </w:pPr>
    <w:rPr>
      <w:rFonts w:ascii="宋体" w:hAnsi="Times New Roman" w:eastAsia="宋体" w:cs="Times New Roman"/>
      <w:color w:val="auto"/>
      <w:kern w:val="2"/>
      <w:sz w:val="20"/>
      <w:szCs w:val="20"/>
    </w:rPr>
  </w:style>
  <w:style w:type="paragraph" w:styleId="8">
    <w:name w:val="Title"/>
    <w:basedOn w:val="1"/>
    <w:link w:val="11"/>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1">
    <w:name w:val="标题 Char"/>
    <w:basedOn w:val="9"/>
    <w:link w:val="8"/>
    <w:qFormat/>
    <w:uiPriority w:val="0"/>
    <w:rPr>
      <w:rFonts w:ascii="Arial" w:hAnsi="Arial"/>
      <w:b/>
      <w:kern w:val="0"/>
      <w:sz w:val="32"/>
      <w:szCs w:val="20"/>
    </w:rPr>
  </w:style>
  <w:style w:type="paragraph" w:customStyle="1" w:styleId="12">
    <w:name w:val="正文文本 (2)1"/>
    <w:basedOn w:val="1"/>
    <w:qFormat/>
    <w:uiPriority w:val="99"/>
    <w:pPr>
      <w:shd w:val="clear" w:color="auto" w:fill="FFFFFF"/>
      <w:spacing w:before="300" w:line="439" w:lineRule="exact"/>
      <w:jc w:val="distribute"/>
    </w:pPr>
    <w:rPr>
      <w:rFonts w:ascii="MingLiU" w:eastAsia="MingLiU" w:cs="Times New Roman"/>
      <w:color w:val="auto"/>
      <w:spacing w:val="20"/>
      <w:sz w:val="22"/>
      <w:szCs w:val="22"/>
    </w:rPr>
  </w:style>
  <w:style w:type="character" w:customStyle="1" w:styleId="13">
    <w:name w:val="正文文本 (2) + 10 pt34"/>
    <w:qFormat/>
    <w:uiPriority w:val="99"/>
    <w:rPr>
      <w:rFonts w:ascii="MingLiU" w:eastAsia="MingLiU" w:cs="MingLiU"/>
      <w:spacing w:val="-20"/>
      <w:sz w:val="20"/>
      <w:szCs w:val="20"/>
      <w:u w:val="none"/>
      <w:lang w:val="en-US" w:eastAsia="en-US"/>
    </w:rPr>
  </w:style>
  <w:style w:type="character" w:customStyle="1" w:styleId="14">
    <w:name w:val="正文文本 (2) + 10 pt37"/>
    <w:qFormat/>
    <w:uiPriority w:val="99"/>
    <w:rPr>
      <w:rFonts w:ascii="MingLiU" w:eastAsia="MingLiU" w:cs="MingLiU"/>
      <w:spacing w:val="0"/>
      <w:sz w:val="20"/>
      <w:szCs w:val="20"/>
      <w:u w:val="none"/>
    </w:rPr>
  </w:style>
  <w:style w:type="paragraph" w:customStyle="1" w:styleId="15">
    <w:name w:val="正文文本 (5)1"/>
    <w:basedOn w:val="1"/>
    <w:qFormat/>
    <w:uiPriority w:val="99"/>
    <w:pPr>
      <w:shd w:val="clear" w:color="auto" w:fill="FFFFFF"/>
      <w:spacing w:before="5100" w:line="240" w:lineRule="atLeast"/>
    </w:pPr>
    <w:rPr>
      <w:rFonts w:ascii="MingLiU" w:eastAsia="MingLiU" w:cs="Times New Roman"/>
      <w:color w:val="auto"/>
      <w:sz w:val="20"/>
      <w:szCs w:val="20"/>
    </w:rPr>
  </w:style>
  <w:style w:type="paragraph" w:customStyle="1" w:styleId="1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市交通局</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2021-09-26T01:35:00Z</dcterms:created>
  <dc:creator>何振族</dc:creator>
  <cp:lastModifiedBy>何振族</cp:lastModifiedBy>
  <dcterms:modified xsi:type="dcterms:W3CDTF">2021-10-12T04:13:14Z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