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附件</w:t>
      </w:r>
      <w:r>
        <w:rPr>
          <w:rFonts w:hint="eastAsia" w:ascii="方正小标宋简体" w:hAnsi="方正小标宋简体" w:eastAsia="方正小标宋简体" w:cs="方正小标宋简体"/>
          <w:b w:val="0"/>
          <w:bCs w:val="0"/>
          <w:sz w:val="32"/>
          <w:szCs w:val="32"/>
          <w:lang w:val="en-US" w:eastAsia="zh-CN"/>
        </w:rPr>
        <w:t>4</w:t>
      </w:r>
      <w:r>
        <w:rPr>
          <w:rFonts w:hint="eastAsia" w:ascii="方正小标宋简体" w:hAnsi="方正小标宋简体" w:eastAsia="方正小标宋简体" w:cs="方正小标宋简体"/>
          <w:b w:val="0"/>
          <w:bCs w:val="0"/>
          <w:sz w:val="32"/>
          <w:szCs w:val="32"/>
        </w:rPr>
        <w:t>：</w:t>
      </w:r>
    </w:p>
    <w:p>
      <w:pPr>
        <w:pStyle w:val="6"/>
        <w:ind w:firstLine="960" w:firstLineChars="300"/>
        <w:rPr>
          <w:rFonts w:hint="eastAsia" w:ascii="方正小标宋简体" w:hAnsi="方正小标宋简体" w:eastAsia="方正小标宋简体" w:cs="方正小标宋简体"/>
          <w:b w:val="0"/>
          <w:bCs w:val="0"/>
          <w:color w:val="auto"/>
          <w:sz w:val="32"/>
          <w:szCs w:val="32"/>
          <w:highlight w:val="none"/>
        </w:rPr>
      </w:pPr>
      <w:r>
        <w:rPr>
          <w:rFonts w:hint="eastAsia" w:ascii="方正小标宋简体" w:hAnsi="方正小标宋简体" w:eastAsia="方正小标宋简体" w:cs="方正小标宋简体"/>
          <w:b w:val="0"/>
          <w:bCs w:val="0"/>
          <w:color w:val="auto"/>
          <w:sz w:val="32"/>
          <w:szCs w:val="32"/>
          <w:highlight w:val="none"/>
        </w:rPr>
        <w:t>公路勘察设计招标范本修改示例（综合评估法）</w:t>
      </w:r>
    </w:p>
    <w:p>
      <w:pPr>
        <w:pStyle w:val="6"/>
        <w:ind w:firstLine="480" w:firstLineChars="200"/>
        <w:rPr>
          <w:rFonts w:hint="eastAsia" w:ascii="仿宋" w:hAnsi="仿宋" w:eastAsia="仿宋"/>
          <w:b w:val="0"/>
          <w:bCs w:val="0"/>
          <w:color w:val="auto"/>
          <w:sz w:val="24"/>
          <w:szCs w:val="24"/>
          <w:highlight w:val="none"/>
          <w:lang w:eastAsia="zh-CN"/>
        </w:rPr>
      </w:pPr>
      <w:r>
        <w:rPr>
          <w:rFonts w:hint="eastAsia" w:ascii="仿宋_GB2312" w:hAnsi="仿宋_GB2312" w:eastAsia="仿宋_GB2312" w:cs="仿宋_GB2312"/>
          <w:b w:val="0"/>
          <w:bCs w:val="0"/>
          <w:color w:val="auto"/>
          <w:sz w:val="24"/>
          <w:highlight w:val="none"/>
          <w:lang w:eastAsia="zh-CN"/>
        </w:rPr>
        <w:t>说明：</w:t>
      </w:r>
      <w:r>
        <w:rPr>
          <w:rFonts w:hint="eastAsia" w:ascii="仿宋" w:hAnsi="仿宋" w:eastAsia="仿宋"/>
          <w:b w:val="0"/>
          <w:bCs w:val="0"/>
          <w:color w:val="auto"/>
          <w:sz w:val="24"/>
          <w:szCs w:val="24"/>
          <w:highlight w:val="none"/>
        </w:rPr>
        <w:t>在中山市公共资源交易平台开展公路</w:t>
      </w:r>
      <w:r>
        <w:rPr>
          <w:rFonts w:hint="eastAsia" w:ascii="仿宋" w:hAnsi="仿宋" w:eastAsia="仿宋"/>
          <w:b w:val="0"/>
          <w:bCs w:val="0"/>
          <w:color w:val="auto"/>
          <w:sz w:val="24"/>
          <w:szCs w:val="24"/>
          <w:highlight w:val="none"/>
          <w:lang w:eastAsia="zh-CN"/>
        </w:rPr>
        <w:t>勘察设计</w:t>
      </w:r>
      <w:r>
        <w:rPr>
          <w:rFonts w:hint="eastAsia" w:ascii="仿宋" w:hAnsi="仿宋" w:eastAsia="仿宋"/>
          <w:b w:val="0"/>
          <w:bCs w:val="0"/>
          <w:color w:val="auto"/>
          <w:sz w:val="24"/>
          <w:szCs w:val="24"/>
          <w:highlight w:val="none"/>
        </w:rPr>
        <w:t>电子招标投标（综合评估法）时，招标人可以结合相关法律法规、中山市公共资源交易中心相关电子化招</w:t>
      </w:r>
      <w:r>
        <w:rPr>
          <w:rFonts w:hint="eastAsia" w:ascii="仿宋" w:hAnsi="仿宋" w:eastAsia="仿宋"/>
          <w:b w:val="0"/>
          <w:bCs w:val="0"/>
          <w:color w:val="auto"/>
          <w:sz w:val="24"/>
          <w:szCs w:val="24"/>
          <w:highlight w:val="none"/>
          <w:lang w:eastAsia="zh-CN"/>
        </w:rPr>
        <w:t>投</w:t>
      </w:r>
      <w:r>
        <w:rPr>
          <w:rFonts w:hint="eastAsia" w:ascii="仿宋" w:hAnsi="仿宋" w:eastAsia="仿宋"/>
          <w:b w:val="0"/>
          <w:bCs w:val="0"/>
          <w:color w:val="auto"/>
          <w:sz w:val="24"/>
          <w:szCs w:val="24"/>
          <w:highlight w:val="none"/>
        </w:rPr>
        <w:t>标操作指南，进一步完善《广东省公路工程</w:t>
      </w:r>
      <w:r>
        <w:rPr>
          <w:rFonts w:hint="eastAsia" w:ascii="仿宋" w:hAnsi="仿宋" w:eastAsia="仿宋"/>
          <w:b w:val="0"/>
          <w:bCs w:val="0"/>
          <w:color w:val="auto"/>
          <w:sz w:val="24"/>
          <w:szCs w:val="24"/>
          <w:highlight w:val="none"/>
          <w:lang w:eastAsia="zh-CN"/>
        </w:rPr>
        <w:t>勘察设计</w:t>
      </w:r>
      <w:r>
        <w:rPr>
          <w:rFonts w:hint="eastAsia" w:ascii="仿宋" w:hAnsi="仿宋" w:eastAsia="仿宋"/>
          <w:b w:val="0"/>
          <w:bCs w:val="0"/>
          <w:color w:val="auto"/>
          <w:sz w:val="24"/>
          <w:szCs w:val="24"/>
          <w:highlight w:val="none"/>
        </w:rPr>
        <w:t>招标招标文件范本（2018年版）》相应条款，以下部分条款修改供招标人研究参考。以下内容针对《广东省公路工程</w:t>
      </w:r>
      <w:r>
        <w:rPr>
          <w:rFonts w:hint="eastAsia" w:ascii="仿宋" w:hAnsi="仿宋" w:eastAsia="仿宋"/>
          <w:b w:val="0"/>
          <w:bCs w:val="0"/>
          <w:color w:val="auto"/>
          <w:sz w:val="24"/>
          <w:szCs w:val="24"/>
          <w:highlight w:val="none"/>
          <w:lang w:eastAsia="zh-CN"/>
        </w:rPr>
        <w:t>勘察设计</w:t>
      </w:r>
      <w:r>
        <w:rPr>
          <w:rFonts w:hint="eastAsia" w:ascii="仿宋" w:hAnsi="仿宋" w:eastAsia="仿宋"/>
          <w:b w:val="0"/>
          <w:bCs w:val="0"/>
          <w:color w:val="auto"/>
          <w:sz w:val="24"/>
          <w:szCs w:val="24"/>
          <w:highlight w:val="none"/>
        </w:rPr>
        <w:t>招标招标文件范本（2018年版）》修改。</w:t>
      </w:r>
      <w:r>
        <w:rPr>
          <w:rFonts w:hint="eastAsia" w:ascii="仿宋" w:hAnsi="仿宋" w:eastAsia="仿宋"/>
          <w:b w:val="0"/>
          <w:bCs w:val="0"/>
          <w:color w:val="auto"/>
          <w:sz w:val="24"/>
          <w:szCs w:val="24"/>
          <w:highlight w:val="none"/>
          <w:lang w:eastAsia="zh-CN"/>
        </w:rPr>
        <w:t>设计咨询招标可参考使用。</w:t>
      </w:r>
    </w:p>
    <w:p>
      <w:pPr>
        <w:pStyle w:val="6"/>
        <w:ind w:firstLine="482"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一、招标公告相应部分修改如下：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5</w:t>
      </w:r>
      <w:r>
        <w:rPr>
          <w:rFonts w:hint="eastAsia" w:ascii="仿宋" w:hAnsi="仿宋" w:eastAsia="仿宋"/>
          <w:color w:val="auto"/>
          <w:sz w:val="24"/>
          <w:highlight w:val="none"/>
        </w:rPr>
        <w:t>．招标文件的获取</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招标人在网上发布招标公告时，同时在中山市公共资源交易网-工程建设项目交易业务系统(简称“电子交易平台”)发售招标文件等相关资料。凡符合条件且有意参加投标者，请于</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日至</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日招标文件发售期间，在中山市公共资源交易网（http://ggzyjy.zs.gov.cn）通过电子招投标数字证书登录“电子交易平台”下载完整的招标文件等相关资料。</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hint="eastAsia" w:ascii="仿宋" w:hAnsi="仿宋" w:eastAsia="仿宋"/>
          <w:color w:val="auto"/>
          <w:sz w:val="24"/>
          <w:highlight w:val="none"/>
        </w:rPr>
        <w:t>．招标文件的递交及相关事宜</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w:t>
      </w:r>
      <w:r>
        <w:rPr>
          <w:rFonts w:hint="eastAsia" w:ascii="仿宋" w:hAnsi="仿宋" w:eastAsia="仿宋"/>
          <w:color w:val="auto"/>
          <w:sz w:val="24"/>
          <w:highlight w:val="none"/>
          <w:lang w:val="en-US" w:eastAsia="zh-CN"/>
        </w:rPr>
        <w:t>6</w:t>
      </w:r>
      <w:r>
        <w:rPr>
          <w:rFonts w:hint="eastAsia" w:ascii="仿宋" w:hAnsi="仿宋" w:eastAsia="仿宋"/>
          <w:color w:val="auto"/>
          <w:sz w:val="24"/>
          <w:highlight w:val="none"/>
        </w:rPr>
        <w:t>.1 投标截止时间以工程建设项目交易业务系统上的议程安排为准，地点为“电子交易平台”。投标人应在投标截止时间前通过“电子交易平台”递交电子投标文件。</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hint="eastAsia" w:ascii="仿宋" w:hAnsi="仿宋" w:eastAsia="仿宋"/>
          <w:color w:val="auto"/>
          <w:sz w:val="24"/>
          <w:highlight w:val="none"/>
        </w:rPr>
        <w:t>.2 逾期送达（上传）的或者未送达（上传）指定地点的投标文件将被拒绝。</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en-US" w:eastAsia="zh-CN"/>
        </w:rPr>
        <w:t>6</w:t>
      </w:r>
      <w:r>
        <w:rPr>
          <w:rFonts w:hint="eastAsia" w:ascii="仿宋" w:hAnsi="仿宋" w:eastAsia="仿宋"/>
          <w:color w:val="auto"/>
          <w:sz w:val="24"/>
          <w:highlight w:val="none"/>
        </w:rPr>
        <w:t>.3本项</w:t>
      </w:r>
      <w:r>
        <w:rPr>
          <w:rFonts w:hint="eastAsia" w:ascii="仿宋" w:hAnsi="仿宋" w:eastAsia="仿宋" w:cs="宋体"/>
          <w:color w:val="auto"/>
          <w:sz w:val="24"/>
          <w:highlight w:val="none"/>
        </w:rPr>
        <w:t>目在中山市公共资源交易中心</w:t>
      </w:r>
      <w:r>
        <w:rPr>
          <w:rFonts w:hint="eastAsia" w:ascii="仿宋" w:hAnsi="仿宋" w:eastAsia="仿宋"/>
          <w:color w:val="auto"/>
          <w:sz w:val="24"/>
          <w:highlight w:val="none"/>
        </w:rPr>
        <w:t>现场组织网上开标，投标人无需抵达开标现场。投标人可登录中山市公共资源交易网（http://ggzyjy.zs.gov.cn)“工程建设项目交易业务系统”→“参与项目”→“网上开标”栏目查看项目开标过程，依法提出开标异议。</w:t>
      </w:r>
    </w:p>
    <w:p>
      <w:pPr>
        <w:pStyle w:val="6"/>
        <w:ind w:firstLine="482"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二、投标人须知相应部分修改如下：</w:t>
      </w:r>
    </w:p>
    <w:tbl>
      <w:tblPr>
        <w:tblStyle w:val="12"/>
        <w:tblW w:w="9553"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3060"/>
        <w:gridCol w:w="54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3.4.1</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投标保证金</w:t>
            </w:r>
          </w:p>
        </w:tc>
        <w:tc>
          <w:tcPr>
            <w:tcW w:w="5413" w:type="dxa"/>
            <w:vAlign w:val="center"/>
          </w:tcPr>
          <w:p>
            <w:pPr>
              <w:spacing w:line="360" w:lineRule="exact"/>
              <w:rPr>
                <w:rFonts w:ascii="仿宋" w:hAnsi="仿宋" w:eastAsia="仿宋" w:cs="宋体"/>
                <w:bCs/>
                <w:color w:val="auto"/>
                <w:sz w:val="24"/>
                <w:highlight w:val="none"/>
              </w:rPr>
            </w:pPr>
            <w:r>
              <w:rPr>
                <w:rFonts w:hint="eastAsia" w:ascii="仿宋" w:hAnsi="仿宋" w:eastAsia="仿宋" w:cs="宋体"/>
                <w:bCs/>
                <w:color w:val="auto"/>
                <w:sz w:val="24"/>
                <w:highlight w:val="none"/>
              </w:rPr>
              <w:t>金额：</w:t>
            </w:r>
            <w:r>
              <w:rPr>
                <w:rFonts w:hint="eastAsia" w:ascii="仿宋" w:hAnsi="仿宋" w:eastAsia="仿宋" w:cs="宋体"/>
                <w:b/>
                <w:bCs/>
                <w:color w:val="auto"/>
                <w:sz w:val="24"/>
                <w:highlight w:val="none"/>
                <w:u w:val="single"/>
              </w:rPr>
              <w:t xml:space="preserve">      </w:t>
            </w:r>
            <w:r>
              <w:rPr>
                <w:rFonts w:hint="eastAsia" w:ascii="仿宋" w:hAnsi="仿宋" w:eastAsia="仿宋" w:cs="宋体"/>
                <w:bCs/>
                <w:color w:val="auto"/>
                <w:sz w:val="24"/>
                <w:highlight w:val="none"/>
                <w:u w:val="single"/>
              </w:rPr>
              <w:t xml:space="preserve"> </w:t>
            </w:r>
            <w:r>
              <w:rPr>
                <w:rFonts w:hint="eastAsia" w:ascii="仿宋" w:hAnsi="仿宋" w:eastAsia="仿宋" w:cs="宋体"/>
                <w:bCs/>
                <w:color w:val="auto"/>
                <w:sz w:val="24"/>
                <w:highlight w:val="none"/>
              </w:rPr>
              <w:t xml:space="preserve">      </w:t>
            </w:r>
          </w:p>
          <w:p>
            <w:pPr>
              <w:widowControl/>
              <w:tabs>
                <w:tab w:val="left" w:pos="12596"/>
              </w:tabs>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投标保证金的形式：电子保函 或 银行转账（不接受现金交纳）。</w:t>
            </w:r>
          </w:p>
          <w:p>
            <w:pPr>
              <w:widowControl/>
              <w:tabs>
                <w:tab w:val="left" w:pos="12596"/>
              </w:tabs>
              <w:spacing w:line="360" w:lineRule="auto"/>
              <w:jc w:val="left"/>
              <w:rPr>
                <w:rFonts w:ascii="仿宋" w:hAnsi="仿宋" w:eastAsia="仿宋" w:cs="宋体"/>
                <w:color w:val="auto"/>
                <w:kern w:val="0"/>
                <w:sz w:val="24"/>
                <w:highlight w:val="none"/>
              </w:rPr>
            </w:pPr>
            <w:r>
              <w:rPr>
                <w:rFonts w:hint="eastAsia" w:ascii="仿宋" w:hAnsi="仿宋" w:eastAsia="仿宋" w:cs="宋体"/>
                <w:color w:val="auto"/>
                <w:sz w:val="24"/>
                <w:highlight w:val="none"/>
              </w:rPr>
              <w:t>提交截止时间：</w:t>
            </w:r>
            <w:r>
              <w:rPr>
                <w:rFonts w:hint="eastAsia" w:ascii="仿宋" w:hAnsi="仿宋" w:eastAsia="仿宋" w:cs="宋体"/>
                <w:color w:val="auto"/>
                <w:kern w:val="0"/>
                <w:sz w:val="24"/>
                <w:highlight w:val="none"/>
              </w:rPr>
              <w:t>具体时间以工程建设项目交易业务系统上的议程安排为准。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投标人</w:t>
            </w:r>
            <w:r>
              <w:rPr>
                <w:rFonts w:hint="eastAsia" w:ascii="仿宋" w:hAnsi="仿宋" w:eastAsia="仿宋" w:cs="宋体"/>
                <w:bCs/>
                <w:color w:val="auto"/>
                <w:sz w:val="24"/>
                <w:highlight w:val="none"/>
              </w:rPr>
              <w:t>应在</w:t>
            </w:r>
            <w:r>
              <w:rPr>
                <w:rFonts w:hint="eastAsia" w:ascii="仿宋" w:hAnsi="仿宋" w:eastAsia="仿宋" w:cs="宋体"/>
                <w:color w:val="auto"/>
                <w:sz w:val="24"/>
                <w:highlight w:val="none"/>
              </w:rPr>
              <w:t>招标文件发售期间</w:t>
            </w:r>
            <w:r>
              <w:rPr>
                <w:rFonts w:hint="eastAsia" w:ascii="仿宋" w:hAnsi="仿宋" w:eastAsia="仿宋" w:cs="宋体"/>
                <w:bCs/>
                <w:color w:val="auto"/>
                <w:sz w:val="24"/>
                <w:highlight w:val="none"/>
              </w:rPr>
              <w:t>通过工程建设项目交易业务系统下载招标文件及相关文件,在</w:t>
            </w:r>
            <w:r>
              <w:rPr>
                <w:rFonts w:hint="eastAsia" w:ascii="仿宋" w:hAnsi="仿宋" w:eastAsia="仿宋" w:cs="宋体"/>
                <w:color w:val="auto"/>
                <w:sz w:val="24"/>
                <w:highlight w:val="none"/>
              </w:rPr>
              <w:t>保证金提交截止时间前提交</w:t>
            </w:r>
            <w:r>
              <w:rPr>
                <w:rFonts w:hint="eastAsia" w:ascii="仿宋" w:hAnsi="仿宋" w:eastAsia="仿宋" w:cs="宋体"/>
                <w:color w:val="auto"/>
                <w:kern w:val="0"/>
                <w:sz w:val="24"/>
                <w:highlight w:val="none"/>
              </w:rPr>
              <w:t>投标保证金，未按时提交投标保证金的，其投标不予受理。投标人在提交投标保证金后应及时查询投标保证金到账或电子保函的出具情况。如有问题请及早向市公共资源交易中心及有关金融机构查询解决。投标保证金以开标系统显示的记录为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银行转账的投标保证金必须通过投标人已在中山市公共资源交易中心企业信息库中登记的基本账户（基本账户的企业名称须与投标人名称一致）转入相关账户(详见“缴纳投标保证金通知书”)： 投标人凭电子招投标数字证书登入工程建设项目交易业务系统，在“投标管理--参与项目”栏目页面，选择参与投标的项目获取保证金提交子账号，并严格按照“缴纳投标保证金通知书”的要求足额提交投标保证金。</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以电子保函方式提交投标保证金的，投标人凭电子招投标数字证书登入工程建设项目交易业务系统，在“投标管理--参与项目”栏目页面，选择参与投标的项目，选择相关金融机构办理电子保函。电子保函的出具时间视同于保证金提交时间。电子保函有效期限到期后自动失效，若在有效期间内办理注销的，则在注销之日起失效。电子保函办理的申请流程及操作指引详见中山市公共资源交易中心门户网站的“服务指南—资料下载”-《电子保函操作手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3.7.4</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投标文件份数</w:t>
            </w:r>
          </w:p>
        </w:tc>
        <w:tc>
          <w:tcPr>
            <w:tcW w:w="5413" w:type="dxa"/>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以电子文件形式通过“中山市公共资源交易网工程建设项目交易业务系统”网上递交下列文件：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1、商务和技术文件1份（pdf格式</w:t>
            </w:r>
            <w:r>
              <w:rPr>
                <w:rFonts w:hint="eastAsia" w:ascii="仿宋" w:hAnsi="仿宋" w:eastAsia="仿宋"/>
                <w:color w:val="auto"/>
                <w:sz w:val="24"/>
                <w:highlight w:val="none"/>
                <w:lang w:eastAsia="zh-CN"/>
              </w:rPr>
              <w:t>，第一信封商务文件和第一信封技术文件一起扫描成一份</w:t>
            </w:r>
            <w:r>
              <w:rPr>
                <w:rFonts w:hint="eastAsia" w:ascii="仿宋" w:hAnsi="仿宋" w:eastAsia="仿宋"/>
                <w:color w:val="auto"/>
                <w:sz w:val="24"/>
                <w:highlight w:val="none"/>
                <w:lang w:val="en-US" w:eastAsia="zh-CN"/>
              </w:rPr>
              <w:t>pdf</w:t>
            </w:r>
            <w:r>
              <w:rPr>
                <w:rFonts w:hint="eastAsia" w:ascii="仿宋" w:hAnsi="仿宋" w:eastAsia="仿宋"/>
                <w:color w:val="auto"/>
                <w:sz w:val="24"/>
                <w:highlight w:val="none"/>
              </w:rPr>
              <w:t>）</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2、报价文件1份（pdf格式）</w:t>
            </w:r>
          </w:p>
          <w:p>
            <w:pPr>
              <w:spacing w:line="320" w:lineRule="exact"/>
              <w:ind w:firstLine="480" w:firstLineChars="200"/>
              <w:rPr>
                <w:rFonts w:ascii="仿宋" w:hAnsi="仿宋" w:eastAsia="仿宋" w:cs="宋体"/>
                <w:color w:val="auto"/>
                <w:sz w:val="24"/>
                <w:highlight w:val="none"/>
              </w:rPr>
            </w:pPr>
            <w:r>
              <w:rPr>
                <w:rFonts w:hint="eastAsia" w:ascii="仿宋" w:hAnsi="仿宋" w:eastAsia="仿宋"/>
                <w:color w:val="auto"/>
                <w:sz w:val="24"/>
                <w:highlight w:val="none"/>
              </w:rPr>
              <w:t>投标人在投标截止时间前自行向“电子交易平台”上传。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3.7.5</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olor w:val="auto"/>
                <w:sz w:val="24"/>
                <w:highlight w:val="none"/>
              </w:rPr>
              <w:t>装订要求</w:t>
            </w:r>
          </w:p>
        </w:tc>
        <w:tc>
          <w:tcPr>
            <w:tcW w:w="5413" w:type="dxa"/>
            <w:vAlign w:val="center"/>
          </w:tcPr>
          <w:p>
            <w:pPr>
              <w:rPr>
                <w:rFonts w:ascii="仿宋" w:hAnsi="仿宋" w:eastAsia="仿宋" w:cs="宋体"/>
                <w:color w:val="auto"/>
                <w:sz w:val="24"/>
                <w:highlight w:val="none"/>
              </w:rPr>
            </w:pPr>
            <w:r>
              <w:rPr>
                <w:rFonts w:hint="eastAsia" w:ascii="仿宋" w:hAnsi="仿宋" w:eastAsia="仿宋"/>
                <w:color w:val="auto"/>
                <w:sz w:val="24"/>
                <w:highlight w:val="none"/>
              </w:rPr>
              <w:t>修改为：全部投标文件均应制作成PDF电子文件,文件大小应满足“电子交易平台”的要求。投标文件中需要盖章的，应按招标文件要求加盖公章后扫描成电子文档或采用单位数字证书在相应位置加盖电子印章。投标文件中需个人签字的，应按招标文件要求手签后扫描成电子文档。相关操作手册请自行登录“中山市公共资源交易网-办事指南”栏目下载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4.1.2</w:t>
            </w:r>
          </w:p>
        </w:tc>
        <w:tc>
          <w:tcPr>
            <w:tcW w:w="3060"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封套上应载明的信息</w:t>
            </w:r>
          </w:p>
        </w:tc>
        <w:tc>
          <w:tcPr>
            <w:tcW w:w="5413" w:type="dxa"/>
            <w:vAlign w:val="center"/>
          </w:tcPr>
          <w:p>
            <w:pPr>
              <w:jc w:val="left"/>
              <w:rPr>
                <w:rFonts w:ascii="仿宋" w:hAnsi="仿宋" w:eastAsia="仿宋"/>
                <w:color w:val="auto"/>
                <w:sz w:val="24"/>
                <w:highlight w:val="none"/>
              </w:rPr>
            </w:pPr>
            <w:r>
              <w:rPr>
                <w:rFonts w:hint="eastAsia" w:ascii="仿宋" w:hAnsi="仿宋" w:eastAsia="仿宋"/>
                <w:color w:val="auto"/>
                <w:sz w:val="24"/>
                <w:highlight w:val="none"/>
              </w:rPr>
              <w:t>（此款不适用）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5.1</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开标时间和地点</w:t>
            </w:r>
          </w:p>
        </w:tc>
        <w:tc>
          <w:tcPr>
            <w:tcW w:w="5413"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开标时间：具体时间以工程建设项目交易业务系统上的议程安排为准。</w:t>
            </w:r>
          </w:p>
          <w:p>
            <w:pPr>
              <w:rPr>
                <w:rFonts w:ascii="仿宋" w:hAnsi="仿宋" w:eastAsia="仿宋" w:cs="宋体"/>
                <w:color w:val="auto"/>
                <w:sz w:val="24"/>
                <w:highlight w:val="none"/>
              </w:rPr>
            </w:pPr>
            <w:r>
              <w:rPr>
                <w:rFonts w:hint="eastAsia" w:ascii="仿宋" w:hAnsi="仿宋" w:eastAsia="仿宋"/>
                <w:color w:val="auto"/>
                <w:sz w:val="24"/>
                <w:highlight w:val="none"/>
              </w:rPr>
              <w:t>开标地点:中山市公共资源交易中心（博爱六路22号）</w:t>
            </w:r>
            <w:r>
              <w:rPr>
                <w:rFonts w:hint="eastAsia" w:ascii="仿宋" w:hAnsi="仿宋" w:eastAsia="仿宋"/>
                <w:color w:val="auto"/>
                <w:sz w:val="24"/>
                <w:highlight w:val="none"/>
                <w:lang w:eastAsia="zh-CN"/>
              </w:rPr>
              <w:t>。</w:t>
            </w:r>
            <w:r>
              <w:rPr>
                <w:rFonts w:hint="eastAsia" w:ascii="仿宋" w:hAnsi="仿宋" w:eastAsia="仿宋" w:cs="宋体"/>
                <w:color w:val="auto"/>
                <w:sz w:val="24"/>
                <w:highlight w:val="none"/>
              </w:rPr>
              <w:t>本项目在中山市公共资源交易中心现场组织网上开标，投标人无需抵达开标现场。投标人可登录中山市公共资源交易网（http://ggzyjy.zs.gov.cn)“工程建设项目交易业务系统”→“参与项目”→“网上开标”栏目查看项目开标过程，依法提出开标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5.2.1</w:t>
            </w:r>
          </w:p>
        </w:tc>
        <w:tc>
          <w:tcPr>
            <w:tcW w:w="306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第一个信封（商务及技术文件）开标程序</w:t>
            </w:r>
          </w:p>
        </w:tc>
        <w:tc>
          <w:tcPr>
            <w:tcW w:w="5413" w:type="dxa"/>
            <w:vAlign w:val="center"/>
          </w:tcPr>
          <w:p>
            <w:pPr>
              <w:spacing w:line="360" w:lineRule="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（招标人删除前附表此行）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5.2.3</w:t>
            </w:r>
          </w:p>
        </w:tc>
        <w:tc>
          <w:tcPr>
            <w:tcW w:w="306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第二个信封（报价文件）开标程序</w:t>
            </w:r>
          </w:p>
        </w:tc>
        <w:tc>
          <w:tcPr>
            <w:tcW w:w="5413" w:type="dxa"/>
            <w:vAlign w:val="center"/>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（招标人删除前附表此行）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9553" w:type="dxa"/>
            <w:gridSpan w:val="3"/>
            <w:vAlign w:val="center"/>
          </w:tcPr>
          <w:p>
            <w:pPr>
              <w:spacing w:line="320" w:lineRule="exact"/>
              <w:ind w:firstLine="360" w:firstLineChars="150"/>
              <w:rPr>
                <w:rFonts w:ascii="仿宋" w:hAnsi="仿宋" w:eastAsia="仿宋"/>
                <w:color w:val="auto"/>
                <w:sz w:val="24"/>
                <w:highlight w:val="none"/>
              </w:rPr>
            </w:pPr>
            <w:r>
              <w:rPr>
                <w:rFonts w:hint="eastAsia" w:ascii="仿宋" w:hAnsi="仿宋" w:eastAsia="仿宋"/>
                <w:color w:val="auto"/>
                <w:sz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1.4.4</w:t>
            </w:r>
          </w:p>
        </w:tc>
        <w:tc>
          <w:tcPr>
            <w:tcW w:w="8473" w:type="dxa"/>
            <w:gridSpan w:val="2"/>
            <w:vAlign w:val="center"/>
          </w:tcPr>
          <w:p>
            <w:pPr>
              <w:spacing w:line="320" w:lineRule="exact"/>
              <w:ind w:firstLine="480" w:firstLineChars="200"/>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第1.4.4项中（1）目中的“招标项目所在地”指“广东省”。</w:t>
            </w:r>
          </w:p>
          <w:p>
            <w:pPr>
              <w:spacing w:line="320" w:lineRule="exact"/>
              <w:ind w:firstLine="480" w:firstLineChars="200"/>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 xml:space="preserve">   在投标人须知范本原文1.4.4款第（6）项不适用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ind w:right="124" w:rightChars="59"/>
              <w:jc w:val="center"/>
              <w:rPr>
                <w:rFonts w:hint="eastAsia" w:ascii="仿宋" w:hAnsi="仿宋" w:eastAsia="仿宋" w:cs="宋体"/>
                <w:color w:val="auto"/>
                <w:sz w:val="24"/>
                <w:highlight w:val="none"/>
              </w:rPr>
            </w:pPr>
            <w:r>
              <w:rPr>
                <w:rFonts w:hint="eastAsia" w:ascii="宋体" w:hAnsi="宋体"/>
                <w:color w:val="auto"/>
                <w:sz w:val="21"/>
                <w:szCs w:val="21"/>
                <w:highlight w:val="none"/>
                <w:lang w:val="en-US" w:eastAsia="zh-CN"/>
              </w:rPr>
              <w:t>2.2.3</w:t>
            </w:r>
          </w:p>
        </w:tc>
        <w:tc>
          <w:tcPr>
            <w:tcW w:w="8473" w:type="dxa"/>
            <w:gridSpan w:val="2"/>
            <w:vAlign w:val="center"/>
          </w:tcPr>
          <w:p>
            <w:pPr>
              <w:spacing w:line="320" w:lineRule="exact"/>
              <w:ind w:right="0" w:rightChars="0"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投标人须知正文第</w:t>
            </w:r>
            <w:r>
              <w:rPr>
                <w:rFonts w:hint="eastAsia" w:ascii="仿宋" w:hAnsi="仿宋" w:eastAsia="仿宋"/>
                <w:color w:val="auto"/>
                <w:sz w:val="24"/>
                <w:szCs w:val="24"/>
                <w:highlight w:val="none"/>
                <w:lang w:val="en-US" w:eastAsia="zh-CN"/>
              </w:rPr>
              <w:t>2.2.3</w:t>
            </w:r>
            <w:r>
              <w:rPr>
                <w:rFonts w:hint="eastAsia" w:ascii="仿宋" w:hAnsi="仿宋" w:eastAsia="仿宋"/>
                <w:color w:val="auto"/>
                <w:sz w:val="24"/>
                <w:szCs w:val="24"/>
                <w:highlight w:val="none"/>
              </w:rPr>
              <w:t>项内容</w:t>
            </w:r>
            <w:r>
              <w:rPr>
                <w:rFonts w:hint="eastAsia" w:ascii="仿宋" w:hAnsi="仿宋" w:eastAsia="仿宋"/>
                <w:color w:val="auto"/>
                <w:sz w:val="24"/>
                <w:szCs w:val="24"/>
                <w:highlight w:val="none"/>
                <w:lang w:eastAsia="zh-CN"/>
              </w:rPr>
              <w:t>修改</w:t>
            </w:r>
            <w:r>
              <w:rPr>
                <w:rFonts w:hint="eastAsia" w:ascii="仿宋" w:hAnsi="仿宋" w:eastAsia="仿宋"/>
                <w:color w:val="auto"/>
                <w:sz w:val="24"/>
                <w:szCs w:val="24"/>
                <w:highlight w:val="none"/>
              </w:rPr>
              <w:t>如下：</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szCs w:val="24"/>
                <w:highlight w:val="none"/>
              </w:rPr>
              <w:t>2.2.3 招标文件澄清发出</w:t>
            </w:r>
            <w:r>
              <w:rPr>
                <w:rFonts w:hint="eastAsia" w:ascii="仿宋" w:hAnsi="仿宋" w:eastAsia="仿宋"/>
                <w:color w:val="auto"/>
                <w:sz w:val="24"/>
                <w:szCs w:val="24"/>
                <w:highlight w:val="none"/>
                <w:lang w:eastAsia="zh-CN"/>
              </w:rPr>
              <w:t>后</w:t>
            </w:r>
            <w:r>
              <w:rPr>
                <w:rFonts w:hint="eastAsia" w:ascii="仿宋" w:hAnsi="仿宋" w:eastAsia="仿宋"/>
                <w:color w:val="auto"/>
                <w:sz w:val="24"/>
                <w:szCs w:val="24"/>
                <w:highlight w:val="none"/>
              </w:rPr>
              <w:t>，投标人</w:t>
            </w:r>
            <w:r>
              <w:rPr>
                <w:rFonts w:hint="eastAsia" w:ascii="仿宋" w:hAnsi="仿宋" w:eastAsia="仿宋"/>
                <w:color w:val="auto"/>
                <w:sz w:val="24"/>
                <w:szCs w:val="24"/>
                <w:highlight w:val="none"/>
                <w:lang w:eastAsia="zh-CN"/>
              </w:rPr>
              <w:t>应及时浏览电子交易平台、</w:t>
            </w:r>
            <w:r>
              <w:rPr>
                <w:rFonts w:hint="eastAsia" w:ascii="仿宋" w:hAnsi="仿宋" w:eastAsia="仿宋"/>
                <w:color w:val="auto"/>
                <w:sz w:val="24"/>
                <w:szCs w:val="24"/>
                <w:highlight w:val="none"/>
              </w:rPr>
              <w:t>网上发出的澄清，因投标人自身原因未及时获知澄清内容而导致的任何后果将由投标人自行承担。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ind w:right="124" w:rightChars="59"/>
              <w:jc w:val="center"/>
              <w:rPr>
                <w:rFonts w:hint="eastAsia" w:ascii="宋体" w:hAnsi="宋体" w:eastAsia="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2.3.2</w:t>
            </w:r>
          </w:p>
        </w:tc>
        <w:tc>
          <w:tcPr>
            <w:tcW w:w="8473" w:type="dxa"/>
            <w:gridSpan w:val="2"/>
            <w:vAlign w:val="center"/>
          </w:tcPr>
          <w:p>
            <w:pPr>
              <w:spacing w:line="320" w:lineRule="exact"/>
              <w:ind w:firstLine="480" w:firstLineChars="200"/>
              <w:rPr>
                <w:rFonts w:hint="eastAsia" w:ascii="仿宋" w:hAnsi="仿宋" w:eastAsia="仿宋"/>
                <w:b w:val="0"/>
                <w:bCs w:val="0"/>
                <w:color w:val="auto"/>
                <w:sz w:val="24"/>
                <w:szCs w:val="24"/>
                <w:highlight w:val="none"/>
              </w:rPr>
            </w:pPr>
            <w:r>
              <w:rPr>
                <w:rFonts w:hint="eastAsia" w:ascii="仿宋" w:hAnsi="仿宋" w:eastAsia="仿宋"/>
                <w:b w:val="0"/>
                <w:bCs w:val="0"/>
                <w:color w:val="auto"/>
                <w:sz w:val="24"/>
                <w:szCs w:val="24"/>
                <w:highlight w:val="none"/>
              </w:rPr>
              <w:t>投标人须知正文第2.3.2项内容修改为：</w:t>
            </w:r>
          </w:p>
          <w:p>
            <w:pPr>
              <w:spacing w:line="320" w:lineRule="exact"/>
              <w:ind w:right="0" w:rightChars="0" w:firstLine="480" w:firstLineChars="200"/>
              <w:rPr>
                <w:rFonts w:hint="eastAsia" w:ascii="仿宋" w:hAnsi="仿宋" w:eastAsia="仿宋" w:cs="Times New Roman"/>
                <w:b w:val="0"/>
                <w:bCs w:val="0"/>
                <w:color w:val="auto"/>
                <w:sz w:val="24"/>
                <w:szCs w:val="24"/>
                <w:highlight w:val="none"/>
              </w:rPr>
            </w:pPr>
            <w:r>
              <w:rPr>
                <w:rFonts w:hint="eastAsia" w:ascii="仿宋" w:hAnsi="仿宋" w:eastAsia="仿宋"/>
                <w:b w:val="0"/>
                <w:bCs w:val="0"/>
                <w:color w:val="auto"/>
                <w:sz w:val="24"/>
                <w:szCs w:val="24"/>
                <w:highlight w:val="none"/>
              </w:rPr>
              <w:t>2.3.2 招标文件修改发出</w:t>
            </w:r>
            <w:r>
              <w:rPr>
                <w:rFonts w:hint="eastAsia" w:ascii="仿宋" w:hAnsi="仿宋" w:eastAsia="仿宋"/>
                <w:b w:val="0"/>
                <w:bCs w:val="0"/>
                <w:color w:val="auto"/>
                <w:sz w:val="24"/>
                <w:szCs w:val="24"/>
                <w:highlight w:val="none"/>
                <w:lang w:eastAsia="zh-CN"/>
              </w:rPr>
              <w:t>后</w:t>
            </w:r>
            <w:r>
              <w:rPr>
                <w:rFonts w:hint="eastAsia" w:ascii="仿宋" w:hAnsi="仿宋" w:eastAsia="仿宋"/>
                <w:b w:val="0"/>
                <w:bCs w:val="0"/>
                <w:color w:val="auto"/>
                <w:sz w:val="24"/>
                <w:szCs w:val="24"/>
                <w:highlight w:val="none"/>
              </w:rPr>
              <w:t>，投标人</w:t>
            </w:r>
            <w:r>
              <w:rPr>
                <w:rFonts w:hint="eastAsia" w:ascii="仿宋" w:hAnsi="仿宋" w:eastAsia="仿宋"/>
                <w:b w:val="0"/>
                <w:bCs w:val="0"/>
                <w:color w:val="auto"/>
                <w:sz w:val="24"/>
                <w:szCs w:val="24"/>
                <w:highlight w:val="none"/>
                <w:lang w:eastAsia="zh-CN"/>
              </w:rPr>
              <w:t>应及时浏览电子交易</w:t>
            </w:r>
            <w:r>
              <w:rPr>
                <w:rFonts w:hint="eastAsia" w:ascii="仿宋" w:hAnsi="仿宋" w:eastAsia="仿宋"/>
                <w:b w:val="0"/>
                <w:bCs w:val="0"/>
                <w:color w:val="auto"/>
                <w:sz w:val="24"/>
                <w:szCs w:val="24"/>
                <w:highlight w:val="none"/>
              </w:rPr>
              <w:t>平台</w:t>
            </w:r>
            <w:r>
              <w:rPr>
                <w:rFonts w:hint="eastAsia" w:ascii="仿宋" w:hAnsi="仿宋" w:eastAsia="仿宋"/>
                <w:b w:val="0"/>
                <w:bCs w:val="0"/>
                <w:color w:val="auto"/>
                <w:sz w:val="24"/>
                <w:szCs w:val="24"/>
                <w:highlight w:val="none"/>
                <w:lang w:eastAsia="zh-CN"/>
              </w:rPr>
              <w:t>、</w:t>
            </w:r>
            <w:r>
              <w:rPr>
                <w:rFonts w:hint="eastAsia" w:ascii="仿宋" w:hAnsi="仿宋" w:eastAsia="仿宋"/>
                <w:b w:val="0"/>
                <w:bCs w:val="0"/>
                <w:color w:val="auto"/>
                <w:sz w:val="24"/>
                <w:szCs w:val="24"/>
                <w:highlight w:val="none"/>
              </w:rPr>
              <w:t>浏览网上发出的修改，因投标人自身原因未及时获知修改内容而导致的任何后果将由投标人自行承担。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宋体"/>
                <w:color w:val="auto"/>
                <w:sz w:val="24"/>
                <w:highlight w:val="none"/>
              </w:rPr>
            </w:pPr>
            <w:r>
              <w:rPr>
                <w:rFonts w:hint="eastAsia" w:ascii="宋体" w:hAnsi="宋体" w:eastAsia="宋体"/>
                <w:color w:val="auto"/>
                <w:sz w:val="21"/>
                <w:szCs w:val="21"/>
                <w:highlight w:val="none"/>
                <w:lang w:val="en-US" w:eastAsia="zh-CN"/>
              </w:rPr>
              <w:t>3.5.</w:t>
            </w:r>
            <w:r>
              <w:rPr>
                <w:rFonts w:hint="eastAsia" w:ascii="宋体" w:hAnsi="宋体"/>
                <w:color w:val="auto"/>
                <w:sz w:val="21"/>
                <w:szCs w:val="21"/>
                <w:highlight w:val="none"/>
                <w:lang w:val="en-US" w:eastAsia="zh-CN"/>
              </w:rPr>
              <w:t>3</w:t>
            </w:r>
          </w:p>
        </w:tc>
        <w:tc>
          <w:tcPr>
            <w:tcW w:w="8473" w:type="dxa"/>
            <w:gridSpan w:val="2"/>
            <w:vAlign w:val="center"/>
          </w:tcPr>
          <w:p>
            <w:pPr>
              <w:spacing w:line="320" w:lineRule="exact"/>
              <w:ind w:right="0" w:rightChars="0" w:firstLine="480" w:firstLineChars="200"/>
              <w:jc w:val="both"/>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投标人须知正文第3.5.4项内容修改如下：</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s="Times New Roman"/>
                <w:color w:val="auto"/>
                <w:sz w:val="24"/>
                <w:highlight w:val="none"/>
              </w:rPr>
              <w:t>“投标人的信誉情况”应附投标人在国家企业信用信息公示系统中未被列入严重违法失信企业名单、在“信用中国”网站中未被列入失信被执行人名单的网页截图复印件。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3.7.4</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投标人须知正文3.7.4项内容修改如下：</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投标人以电子文件形式通过“电子交易平台”网上递交下列投标文件：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1、商务和技术文件1份（pdf</w:t>
            </w:r>
            <w:r>
              <w:rPr>
                <w:rFonts w:hint="eastAsia" w:ascii="仿宋" w:hAnsi="仿宋" w:eastAsia="仿宋"/>
                <w:color w:val="auto"/>
                <w:sz w:val="24"/>
                <w:highlight w:val="none"/>
                <w:lang w:eastAsia="zh-CN"/>
              </w:rPr>
              <w:t>格式</w:t>
            </w:r>
            <w:r>
              <w:rPr>
                <w:rFonts w:hint="eastAsia" w:ascii="仿宋" w:hAnsi="仿宋" w:eastAsia="仿宋"/>
                <w:color w:val="auto"/>
                <w:sz w:val="24"/>
                <w:highlight w:val="none"/>
              </w:rPr>
              <w:t>）</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2、报价文件1份（pdf</w:t>
            </w:r>
            <w:r>
              <w:rPr>
                <w:rFonts w:hint="eastAsia" w:ascii="仿宋" w:hAnsi="仿宋" w:eastAsia="仿宋"/>
                <w:color w:val="auto"/>
                <w:sz w:val="24"/>
                <w:highlight w:val="none"/>
                <w:lang w:eastAsia="zh-CN"/>
              </w:rPr>
              <w:t>格式</w:t>
            </w:r>
            <w:r>
              <w:rPr>
                <w:rFonts w:hint="eastAsia" w:ascii="仿宋" w:hAnsi="仿宋" w:eastAsia="仿宋"/>
                <w:color w:val="auto"/>
                <w:sz w:val="24"/>
                <w:highlight w:val="none"/>
              </w:rPr>
              <w:t>）</w:t>
            </w:r>
          </w:p>
          <w:p>
            <w:pPr>
              <w:spacing w:line="320" w:lineRule="exact"/>
              <w:ind w:firstLine="360" w:firstLineChars="150"/>
              <w:rPr>
                <w:rFonts w:ascii="仿宋" w:hAnsi="仿宋" w:eastAsia="仿宋" w:cs="宋体"/>
                <w:color w:val="auto"/>
                <w:sz w:val="24"/>
                <w:highlight w:val="none"/>
              </w:rPr>
            </w:pPr>
            <w:r>
              <w:rPr>
                <w:rFonts w:hint="eastAsia" w:ascii="仿宋" w:hAnsi="仿宋" w:eastAsia="仿宋"/>
                <w:color w:val="auto"/>
                <w:sz w:val="24"/>
                <w:highlight w:val="none"/>
              </w:rPr>
              <w:t>投标人在投标截止时间前自行向“电子交易平台”上传。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3.7.5</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投标人须知正文3.7.5项内容修改如下：</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全部投标文件均应制作成PDF电子文件,文件大小应满足“电子交易平台”的要求。投标文件中需要盖章的，应按招标文件要求加盖公章后扫描成电子文档或采用单位数字证书在相应位置加盖电子印章。投标文件中需个人签字的，应按招标文件要求手签后扫描成电子文档。相关操作手册请自行登录“中山市公共资源交易网-办事指南”栏目下载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4.1</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投标人须知正文4.1款内容修改如下:</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4.1.1加密的投标文件应按照本章第3.7.3-3.7.5项要求制作并加密，未按要求加密的投标文件，招标人（“电子交易平台”）将拒绝接</w:t>
            </w:r>
            <w:r>
              <w:rPr>
                <w:rFonts w:hint="eastAsia" w:ascii="仿宋" w:hAnsi="仿宋" w:eastAsia="仿宋"/>
                <w:color w:val="auto"/>
                <w:sz w:val="24"/>
                <w:highlight w:val="none"/>
                <w:lang w:eastAsia="zh-CN"/>
              </w:rPr>
              <w:t>收</w:t>
            </w:r>
            <w:r>
              <w:rPr>
                <w:rFonts w:hint="eastAsia" w:ascii="仿宋" w:hAnsi="仿宋" w:eastAsia="仿宋"/>
                <w:color w:val="auto"/>
                <w:sz w:val="24"/>
                <w:highlight w:val="none"/>
              </w:rPr>
              <w:t>并提示。</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删除4.1.2项内容。</w:t>
            </w:r>
          </w:p>
          <w:p>
            <w:pPr>
              <w:spacing w:line="320" w:lineRule="exact"/>
              <w:ind w:firstLine="480" w:firstLineChars="200"/>
              <w:rPr>
                <w:color w:val="auto"/>
                <w:highlight w:val="none"/>
              </w:rPr>
            </w:pPr>
            <w:r>
              <w:rPr>
                <w:rFonts w:hint="eastAsia" w:ascii="仿宋" w:hAnsi="仿宋" w:eastAsia="仿宋"/>
                <w:color w:val="auto"/>
                <w:sz w:val="24"/>
                <w:highlight w:val="none"/>
              </w:rPr>
              <w:t>4.1.3未按本章4.1.1项要求加密的投标文件，招标人将予以拒收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4.2</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投标人须知正文4.2款内容修改为：</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4.2.1 投标人应在第一章“招标公告”或“投标邀请书”规定的投标截止时间前提交。投标文件全部电子文档必须采用投标人数字证书进行上传，投标人应当按照招标文件和“电子交易平台”的要求加密投标文件，并保存上传成功后系统自动生成的电子签收凭证（递交回执通知），递交时间以递交回执通知载明的传输完成时间为准。投标人应充分考虑上传文件的不可预见因素，未在投标截止时间前完成上传的，视为逾期送达，招标人（“电子交易平台”）将拒绝接</w:t>
            </w:r>
            <w:r>
              <w:rPr>
                <w:rFonts w:hint="eastAsia" w:ascii="仿宋" w:hAnsi="仿宋" w:eastAsia="仿宋"/>
                <w:color w:val="auto"/>
                <w:sz w:val="24"/>
                <w:highlight w:val="none"/>
                <w:lang w:eastAsia="zh-CN"/>
              </w:rPr>
              <w:t>收</w:t>
            </w:r>
            <w:r>
              <w:rPr>
                <w:rFonts w:hint="eastAsia" w:ascii="仿宋" w:hAnsi="仿宋" w:eastAsia="仿宋"/>
                <w:color w:val="auto"/>
                <w:sz w:val="24"/>
                <w:highlight w:val="none"/>
              </w:rPr>
              <w:t>。相关操作手册请自行登录“中山市公共资源交易网-办事指南”栏目下载查阅。</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4.2.2 根据本章第4.1.1项的规定，投标人递交的投标文件，只要出现投标文件应当拒收的情形，其投标文件予以拒收。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4.2.3投标人所递交的投标文件不予退还。</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删除4.2.4、4.2.5项内容。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4.3</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投标人须知4.3款内容修改为：</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4.3.1在本章第4.2.1项规定的投标截止时间前，投标人可以修改或撤回已递交的投标文件。投标人对于加密的投标文件进行撤回的，应在“电子交易平台”直接进行撤回操作；投标人对加密的投标文件进行修改的，应在投标文件截止时间前完成上传。</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4.3.2对采用网上递交的加密的投标文件，已投标截止时间前最后完成上传的文件为准。</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4.3.3投标人撤回投标文件的。招标人自收到投标人书面撤回通知之日起5日内退还已收取的投标保证金。</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4.3.4 投标人修改投标文件的，应按照本章第3条、第4条要求进行编制、加密和递交。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ind w:firstLine="240" w:firstLineChars="100"/>
              <w:rPr>
                <w:rFonts w:ascii="仿宋" w:hAnsi="仿宋" w:eastAsia="仿宋"/>
                <w:color w:val="auto"/>
                <w:sz w:val="24"/>
                <w:highlight w:val="none"/>
              </w:rPr>
            </w:pPr>
            <w:r>
              <w:rPr>
                <w:rFonts w:hint="eastAsia" w:ascii="仿宋" w:hAnsi="仿宋" w:eastAsia="仿宋"/>
                <w:color w:val="auto"/>
                <w:sz w:val="24"/>
                <w:highlight w:val="none"/>
              </w:rPr>
              <w:t>5.1</w:t>
            </w:r>
          </w:p>
        </w:tc>
        <w:tc>
          <w:tcPr>
            <w:tcW w:w="8473" w:type="dxa"/>
            <w:gridSpan w:val="2"/>
            <w:vAlign w:val="center"/>
          </w:tcPr>
          <w:p>
            <w:pPr>
              <w:ind w:firstLine="480" w:firstLineChars="200"/>
              <w:rPr>
                <w:rFonts w:ascii="仿宋" w:hAnsi="仿宋" w:eastAsia="仿宋"/>
                <w:color w:val="auto"/>
                <w:sz w:val="24"/>
                <w:highlight w:val="none"/>
              </w:rPr>
            </w:pPr>
            <w:bookmarkStart w:id="0" w:name="_Toc503235876"/>
            <w:bookmarkStart w:id="1" w:name="_Toc501257531"/>
            <w:r>
              <w:rPr>
                <w:rFonts w:hint="eastAsia" w:ascii="仿宋" w:hAnsi="仿宋" w:eastAsia="仿宋"/>
                <w:color w:val="auto"/>
                <w:sz w:val="24"/>
                <w:highlight w:val="none"/>
              </w:rPr>
              <w:t>投标人须知正文5.1款内容修改为：</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5.1开标时间和地点</w:t>
            </w:r>
          </w:p>
          <w:bookmarkEnd w:id="0"/>
          <w:bookmarkEnd w:id="1"/>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5.1.1 招标人在本章“投标人须知前附表”规定的投标截止时间（开标时间）和投标人须知前附表规定的地点公开开标。本项目在中山市公共资源交易中心现场组织网上开标，投标人无需抵达开标现场。投标人可登录中山市公共资源交易网（http://ggzyjy.zs.gov.cn)“工程建设项目交易业务系统”→“参与项目”→“网上开标”栏目查看项目开标过程，依法提出开标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5.2</w:t>
            </w:r>
          </w:p>
        </w:tc>
        <w:tc>
          <w:tcPr>
            <w:tcW w:w="8473" w:type="dxa"/>
            <w:gridSpan w:val="2"/>
            <w:vAlign w:val="center"/>
          </w:tcPr>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若采用双信封形式，投标人须知正文第5.2款修改为：</w:t>
            </w:r>
          </w:p>
          <w:p>
            <w:pPr>
              <w:ind w:firstLine="480" w:firstLineChars="200"/>
              <w:rPr>
                <w:rFonts w:ascii="仿宋" w:hAnsi="仿宋" w:eastAsia="仿宋"/>
                <w:color w:val="auto"/>
                <w:sz w:val="24"/>
                <w:highlight w:val="none"/>
              </w:rPr>
            </w:pPr>
            <w:bookmarkStart w:id="2" w:name="_Toc501257532"/>
            <w:bookmarkStart w:id="3" w:name="_Toc503235877"/>
            <w:r>
              <w:rPr>
                <w:rFonts w:hint="eastAsia" w:ascii="仿宋" w:hAnsi="仿宋" w:eastAsia="仿宋"/>
                <w:color w:val="auto"/>
                <w:sz w:val="24"/>
                <w:highlight w:val="none"/>
              </w:rPr>
              <w:t>5.2</w:t>
            </w:r>
            <w:r>
              <w:rPr>
                <w:rFonts w:hint="eastAsia" w:ascii="仿宋" w:hAnsi="仿宋" w:eastAsia="仿宋"/>
                <w:color w:val="auto"/>
                <w:sz w:val="24"/>
                <w:highlight w:val="none"/>
              </w:rPr>
              <w:tab/>
            </w:r>
            <w:r>
              <w:rPr>
                <w:rFonts w:hint="eastAsia" w:ascii="仿宋" w:hAnsi="仿宋" w:eastAsia="仿宋"/>
                <w:color w:val="auto"/>
                <w:sz w:val="24"/>
                <w:highlight w:val="none"/>
              </w:rPr>
              <w:t xml:space="preserve"> 开标程序</w:t>
            </w:r>
            <w:bookmarkEnd w:id="2"/>
            <w:bookmarkEnd w:id="3"/>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5.2.1 主持人按下列程序对投标文件第一个信封（商务及技术文件）在“电子交易平台”进行开标：</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（1）宣布开标纪律；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（2）公布在投标截止时间前递交投标文件的投标人数量；</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（3）宣布开标人、唱标人、记录人等有关人员姓名；</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（4）由招标人通过“电子交易平台”随机抽取最高投标限价下浮率(若有)；</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（5）监管部门、交易中心、</w:t>
            </w:r>
            <w:r>
              <w:rPr>
                <w:rFonts w:hint="eastAsia" w:ascii="仿宋" w:hAnsi="仿宋" w:eastAsia="仿宋"/>
                <w:color w:val="auto"/>
                <w:sz w:val="24"/>
                <w:highlight w:val="none"/>
                <w:lang w:eastAsia="zh-CN"/>
              </w:rPr>
              <w:t>招</w:t>
            </w:r>
            <w:r>
              <w:rPr>
                <w:rFonts w:hint="eastAsia" w:ascii="仿宋" w:hAnsi="仿宋" w:eastAsia="仿宋"/>
                <w:color w:val="auto"/>
                <w:sz w:val="24"/>
                <w:highlight w:val="none"/>
              </w:rPr>
              <w:t>标人代表三方解密加密的投标文件；</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（6）导入并读取所有解密成功的投标文件第一个信封（商务及技术文件）的内容；</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（7）公布标段名称、投标人名称、投标保证金的递交情况等内容，并记录在案；</w:t>
            </w:r>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（8）招标人告知投标人第一信封开标异议截止时间，若投标人未在截止时间前提出异议，视为对开标结果无异议；若投标人提出异议，招标人应当场</w:t>
            </w:r>
            <w:r>
              <w:rPr>
                <w:rFonts w:hint="eastAsia" w:ascii="仿宋" w:hAnsi="仿宋" w:eastAsia="仿宋"/>
                <w:color w:val="auto"/>
                <w:sz w:val="24"/>
                <w:highlight w:val="none"/>
                <w:lang w:eastAsia="zh-CN"/>
              </w:rPr>
              <w:t>通过“电子交易平台”回复异议人</w:t>
            </w:r>
            <w:r>
              <w:rPr>
                <w:rFonts w:hint="eastAsia" w:ascii="仿宋" w:hAnsi="仿宋" w:eastAsia="仿宋"/>
                <w:color w:val="auto"/>
                <w:sz w:val="24"/>
                <w:highlight w:val="none"/>
              </w:rPr>
              <w:t>并记录在案。</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（9）招标人打印第一信封开标记录，招标人代表、记录人等有关人员在开标记录上签字确认；</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（10）开标结束。</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5.2.2 投标文件第二个信封（报价文件）在投标文件第一个信封（商务及技术文件）完成评审前，“电子交易平台”的开标评标系统将不进行读取。</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5.2.3 招标人将按照本章第5.1款规定的时间和地点对投标文件第二个信封（报价文件）进行开标。主持人按下列程序进行开标：</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（1）宣布开标纪律；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（2）宣布通过投标文件第一个信封（商务及技术文件）评审的投标人名单；</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（3）宣布开标人、唱标人、记录人等有关人员姓名；</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（4）开标人将所有投标文件第二个信封（报价文件）的内容导入“电子交易平台”的开标评标系统，未通过投标文件第一个信封（商务及技术文件）评审的投标人的第二个信封（报价文件）不予读取；</w:t>
            </w:r>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 xml:space="preserve">（5）公布标段名称、投标人名称、投标报价及其他内容，并制作记录； </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（6）计算并宣布评标基准价；</w:t>
            </w:r>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（7）招标人告知投标人第</w:t>
            </w:r>
            <w:r>
              <w:rPr>
                <w:rFonts w:hint="eastAsia" w:ascii="仿宋" w:hAnsi="仿宋" w:eastAsia="仿宋"/>
                <w:color w:val="auto"/>
                <w:sz w:val="24"/>
                <w:highlight w:val="none"/>
                <w:lang w:eastAsia="zh-CN"/>
              </w:rPr>
              <w:t>二</w:t>
            </w:r>
            <w:r>
              <w:rPr>
                <w:rFonts w:hint="eastAsia" w:ascii="仿宋" w:hAnsi="仿宋" w:eastAsia="仿宋"/>
                <w:color w:val="auto"/>
                <w:sz w:val="24"/>
                <w:highlight w:val="none"/>
              </w:rPr>
              <w:t>信封开标异议截止时间，若投标人未在截止时间前提出异议，视为对开标结果无异议；若投标人提出异议，招标人应当场</w:t>
            </w:r>
            <w:r>
              <w:rPr>
                <w:rFonts w:hint="eastAsia" w:ascii="仿宋" w:hAnsi="仿宋" w:eastAsia="仿宋"/>
                <w:color w:val="auto"/>
                <w:sz w:val="24"/>
                <w:highlight w:val="none"/>
                <w:lang w:eastAsia="zh-CN"/>
              </w:rPr>
              <w:t>通过“电子交易平台”回复异议人</w:t>
            </w:r>
            <w:r>
              <w:rPr>
                <w:rFonts w:hint="eastAsia" w:ascii="仿宋" w:hAnsi="仿宋" w:eastAsia="仿宋"/>
                <w:color w:val="auto"/>
                <w:sz w:val="24"/>
                <w:highlight w:val="none"/>
              </w:rPr>
              <w:t>并记录在案。</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（8）招标人打印第二信封开标记录，招标人代表、记录人等有关人员在开标记录上签字确认；</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（9）开标结束。</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5.2.4在投标文件第二个信封（报价文件）开标现场，招标人将按第三章“评标办法”规定的原则计算并宣布评标基准价。若招标人发现投标文件出现以下任一情况，其投标报价将不再参加评标基准价的计算：</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（1）未在投标函上填写投标总价；</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（2）投标报价超出招标人公布的最高投标限价（如有）；</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（3）投标报价的大写金额无法确定具体数值；</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（4）投标函上填写的标段号与投标文件封套上标记的标段号不一致。</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5.2.5 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Arial"/>
                <w:color w:val="auto"/>
                <w:kern w:val="0"/>
                <w:sz w:val="24"/>
                <w:highlight w:val="none"/>
              </w:rPr>
            </w:pPr>
            <w:r>
              <w:rPr>
                <w:rFonts w:hint="eastAsia" w:ascii="仿宋" w:hAnsi="仿宋" w:eastAsia="仿宋" w:cs="Arial"/>
                <w:color w:val="auto"/>
                <w:kern w:val="0"/>
                <w:sz w:val="24"/>
                <w:highlight w:val="none"/>
              </w:rPr>
              <w:t>5.3</w:t>
            </w:r>
          </w:p>
        </w:tc>
        <w:tc>
          <w:tcPr>
            <w:tcW w:w="8473" w:type="dxa"/>
            <w:gridSpan w:val="2"/>
            <w:vAlign w:val="center"/>
          </w:tcPr>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投标人须知正文5.3款内容修改为：</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5.3开标异议</w:t>
            </w:r>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投标人对开标有异议的，应在规定时间内通过“电子</w:t>
            </w:r>
            <w:r>
              <w:rPr>
                <w:rFonts w:hint="eastAsia"/>
                <w:color w:val="auto"/>
                <w:highlight w:val="none"/>
              </w:rPr>
              <w:t>交易</w:t>
            </w:r>
            <w:r>
              <w:rPr>
                <w:rFonts w:hint="eastAsia" w:ascii="仿宋" w:hAnsi="仿宋" w:eastAsia="仿宋"/>
                <w:color w:val="auto"/>
                <w:sz w:val="24"/>
                <w:highlight w:val="none"/>
              </w:rPr>
              <w:t>平台”提出，招标人当场通过“电子交易平台”作出答复，并制作记录。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5.4</w:t>
            </w:r>
          </w:p>
        </w:tc>
        <w:tc>
          <w:tcPr>
            <w:tcW w:w="8473" w:type="dxa"/>
            <w:gridSpan w:val="2"/>
            <w:vAlign w:val="center"/>
          </w:tcPr>
          <w:p>
            <w:pPr>
              <w:spacing w:line="400" w:lineRule="atLeas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投标人须知正文增加5.4款内容：</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5.4发生下列情况的，开标（评标）无效、中止或终止，恢复开标（评标）的时间视情况而定。</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1、停电或服务器发生故障而无法访问网页或工程建设项目交易业务系统；</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2、工程建设项目交易业务系统软件或网络数据库出现错误，不能进行正常的操作；</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3、工程建设项目交易业务系统发现有安全漏洞，有潜在的泄密危险；</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4、计算机病毒造成影响；</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5、其他无法保证电子招标投标过程的公平、公正和信息安全的意外情况；</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6、司法机关、纪检监察等部门依法要求中止或者终止电子招标投标活动的；</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7、市政府依法作出该项目中止或者终止的；</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8、招标人有正当理由要求中止的；</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9、依法应当中止或终止网上招标投标活动的其他情形。</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对于另行安排时间开标评标的项目，有关</w:t>
            </w:r>
            <w:r>
              <w:rPr>
                <w:rFonts w:hint="eastAsia" w:ascii="仿宋" w:hAnsi="仿宋" w:eastAsia="仿宋" w:cs="宋体"/>
                <w:color w:val="auto"/>
                <w:sz w:val="24"/>
                <w:highlight w:val="none"/>
                <w:lang w:eastAsia="zh-CN"/>
              </w:rPr>
              <w:t>信用评价</w:t>
            </w:r>
            <w:r>
              <w:rPr>
                <w:rFonts w:hint="eastAsia" w:ascii="仿宋" w:hAnsi="仿宋" w:eastAsia="仿宋" w:cs="宋体"/>
                <w:color w:val="auto"/>
                <w:sz w:val="24"/>
                <w:highlight w:val="none"/>
              </w:rPr>
              <w:t>分值仍以原电子投标文件截止上传时间为准，开标时，招标人（招标代理）须出具书面说明，提请评委注意有关</w:t>
            </w:r>
            <w:r>
              <w:rPr>
                <w:rFonts w:hint="eastAsia" w:ascii="仿宋" w:hAnsi="仿宋" w:eastAsia="仿宋" w:cs="宋体"/>
                <w:color w:val="auto"/>
                <w:sz w:val="24"/>
                <w:highlight w:val="none"/>
                <w:lang w:eastAsia="zh-CN"/>
              </w:rPr>
              <w:t>信用评价</w:t>
            </w:r>
            <w:bookmarkStart w:id="4" w:name="_GoBack"/>
            <w:bookmarkEnd w:id="4"/>
            <w:r>
              <w:rPr>
                <w:rFonts w:hint="eastAsia" w:ascii="仿宋" w:hAnsi="仿宋" w:eastAsia="仿宋" w:cs="宋体"/>
                <w:color w:val="auto"/>
                <w:sz w:val="24"/>
                <w:highlight w:val="none"/>
              </w:rPr>
              <w:t>分值仍以原截标时间为准。</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对电子招标投标过程中出现的意外情况，市公共资源交易中心有解释权和处理权，招标人同步告知招投标监管部门。电子招标投标中止、终止或者结束后，招标人（招标代理）应将电子招标投标活动的记录下载打印成纸质文档存档。</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中标单位应将中标的投标资料打印一份，装订成册，加盖单位公章后交招标人。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宋体"/>
                <w:color w:val="auto"/>
                <w:sz w:val="24"/>
                <w:highlight w:val="none"/>
              </w:rPr>
            </w:pPr>
            <w:r>
              <w:rPr>
                <w:rFonts w:hint="eastAsia" w:ascii="仿宋" w:hAnsi="仿宋" w:eastAsia="仿宋" w:cs="宋体"/>
                <w:color w:val="auto"/>
                <w:sz w:val="24"/>
                <w:highlight w:val="none"/>
              </w:rPr>
              <w:t>5.5</w:t>
            </w:r>
          </w:p>
        </w:tc>
        <w:tc>
          <w:tcPr>
            <w:tcW w:w="8473" w:type="dxa"/>
            <w:gridSpan w:val="2"/>
            <w:vAlign w:val="center"/>
          </w:tcPr>
          <w:p>
            <w:pPr>
              <w:spacing w:line="400" w:lineRule="atLeas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投标人须知正文增加5.5款内容：</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投标人在电子招标投标活动中实施的行为所产生的后果，由投标人承担。</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1、投标人的数字证书和密码丢失或被他人冒用、盗用的后果，由投标人承担。</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2、使用他人数字证书或把数字证书借给他人使用的，作串通投标处理。</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3、因投标人计算机系统遭遇网络堵塞、病毒入侵、硬件故障等不能正常登录网上招标投标系统投标的，后果由投标人承担，电子招标投标活动继续进行。</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4、电子招标投标活动过程中有不良行为的依照《中山市公路水运工程企业诚信管理办法》进行处理。请投标人及时维护、更新中山市公路水运企业诚信管理平台的信息，确保其有效性。</w:t>
            </w:r>
          </w:p>
          <w:p>
            <w:pPr>
              <w:spacing w:line="420" w:lineRule="exact"/>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5、电子投标文件应根据招标文件及“电子交易平台”的要求编制，不按要求编制导致电子投标文件无法读取或无法打开的，按废标处理。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6.3.2</w:t>
            </w:r>
          </w:p>
        </w:tc>
        <w:tc>
          <w:tcPr>
            <w:tcW w:w="8473" w:type="dxa"/>
            <w:gridSpan w:val="2"/>
            <w:vAlign w:val="center"/>
          </w:tcPr>
          <w:p>
            <w:pPr>
              <w:spacing w:line="3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投标人须知正文6.3.2项内容修改如下：</w:t>
            </w:r>
          </w:p>
          <w:p>
            <w:pPr>
              <w:spacing w:line="400" w:lineRule="atLeast"/>
              <w:ind w:firstLine="480" w:firstLineChars="200"/>
              <w:rPr>
                <w:rFonts w:ascii="仿宋" w:hAnsi="仿宋" w:eastAsia="仿宋"/>
                <w:color w:val="auto"/>
                <w:sz w:val="24"/>
                <w:highlight w:val="none"/>
              </w:rPr>
            </w:pPr>
            <w:r>
              <w:rPr>
                <w:rFonts w:hint="eastAsia" w:ascii="仿宋" w:hAnsi="仿宋" w:eastAsia="仿宋" w:cs="宋体"/>
                <w:color w:val="auto"/>
                <w:sz w:val="24"/>
                <w:highlight w:val="none"/>
              </w:rPr>
              <w:t>评标委员会按照本章第6.3.1项的规定在电子评标系统上开展评审工作，评标完成后，评标委员会应向招标人提交书面及电子评标报告和中标候选人名单。如果评标过程中出现异常情况，导致无法继续评审工作的，可暂停评标，对原有资料及信息作出妥善保密处理，待电子评标系统恢复正常之后，应重新组织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7.3.2</w:t>
            </w:r>
          </w:p>
        </w:tc>
        <w:tc>
          <w:tcPr>
            <w:tcW w:w="8473" w:type="dxa"/>
            <w:gridSpan w:val="2"/>
            <w:vAlign w:val="center"/>
          </w:tcPr>
          <w:p>
            <w:pPr>
              <w:spacing w:line="400" w:lineRule="atLeast"/>
              <w:ind w:firstLine="480" w:firstLineChars="200"/>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招标人删除此行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10.2</w:t>
            </w:r>
          </w:p>
        </w:tc>
        <w:tc>
          <w:tcPr>
            <w:tcW w:w="8473" w:type="dxa"/>
            <w:gridSpan w:val="2"/>
            <w:vAlign w:val="center"/>
          </w:tcPr>
          <w:p>
            <w:pPr>
              <w:topLinePunct/>
              <w:spacing w:line="360" w:lineRule="exact"/>
              <w:ind w:left="-19" w:right="124" w:rightChars="59" w:firstLine="480" w:firstLineChars="200"/>
              <w:rPr>
                <w:rFonts w:ascii="仿宋" w:hAnsi="仿宋" w:eastAsia="仿宋" w:cs="宋体"/>
                <w:color w:val="auto"/>
                <w:sz w:val="24"/>
                <w:highlight w:val="none"/>
              </w:rPr>
            </w:pPr>
            <w:r>
              <w:rPr>
                <w:rFonts w:hint="eastAsia" w:ascii="仿宋" w:hAnsi="仿宋" w:eastAsia="仿宋"/>
                <w:color w:val="auto"/>
                <w:sz w:val="24"/>
                <w:highlight w:val="none"/>
              </w:rPr>
              <w:t>投标人须知正文</w:t>
            </w:r>
            <w:r>
              <w:rPr>
                <w:rFonts w:hint="eastAsia" w:ascii="仿宋" w:hAnsi="仿宋" w:eastAsia="仿宋" w:cs="宋体"/>
                <w:color w:val="auto"/>
                <w:sz w:val="24"/>
                <w:highlight w:val="none"/>
              </w:rPr>
              <w:t>10.2款内容修改如下：</w:t>
            </w:r>
          </w:p>
          <w:p>
            <w:pPr>
              <w:topLinePunct/>
              <w:spacing w:line="360" w:lineRule="exact"/>
              <w:ind w:left="-19" w:right="124" w:rightChars="59"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10.2</w:t>
            </w:r>
            <w:r>
              <w:rPr>
                <w:rFonts w:hint="eastAsia" w:ascii="仿宋" w:hAnsi="仿宋" w:eastAsia="仿宋"/>
                <w:color w:val="auto"/>
                <w:sz w:val="24"/>
                <w:highlight w:val="none"/>
              </w:rPr>
              <w:t>信用等级分值</w:t>
            </w:r>
            <w:r>
              <w:rPr>
                <w:rFonts w:hint="eastAsia" w:ascii="仿宋" w:hAnsi="仿宋" w:eastAsia="仿宋" w:cs="宋体"/>
                <w:color w:val="auto"/>
                <w:sz w:val="24"/>
                <w:highlight w:val="none"/>
              </w:rPr>
              <w:t>的确定原则：采用中山市公路水运工程企业诚信管理平台中关于投标人开标当天的诚信等级确定其</w:t>
            </w:r>
            <w:r>
              <w:rPr>
                <w:rFonts w:hint="eastAsia" w:ascii="仿宋" w:hAnsi="仿宋" w:eastAsia="仿宋"/>
                <w:color w:val="auto"/>
                <w:sz w:val="24"/>
                <w:highlight w:val="none"/>
              </w:rPr>
              <w:t>信用等级得分</w:t>
            </w:r>
            <w:r>
              <w:rPr>
                <w:rFonts w:hint="eastAsia" w:ascii="仿宋" w:hAnsi="仿宋" w:eastAsia="仿宋" w:cs="宋体"/>
                <w:color w:val="auto"/>
                <w:sz w:val="24"/>
                <w:highlight w:val="none"/>
              </w:rPr>
              <w:t>。如该平台上没有投标人诚信等级，则该投标人</w:t>
            </w:r>
            <w:r>
              <w:rPr>
                <w:rFonts w:hint="eastAsia" w:ascii="仿宋" w:hAnsi="仿宋" w:eastAsia="仿宋"/>
                <w:color w:val="auto"/>
                <w:sz w:val="24"/>
                <w:highlight w:val="none"/>
              </w:rPr>
              <w:t>信用等级得分</w:t>
            </w:r>
            <w:r>
              <w:rPr>
                <w:rFonts w:hint="eastAsia" w:ascii="仿宋" w:hAnsi="仿宋" w:eastAsia="仿宋" w:cs="宋体"/>
                <w:color w:val="auto"/>
                <w:sz w:val="24"/>
                <w:highlight w:val="none"/>
              </w:rPr>
              <w:t>为0。</w:t>
            </w:r>
          </w:p>
          <w:p>
            <w:pPr>
              <w:spacing w:line="400" w:lineRule="atLeast"/>
              <w:ind w:firstLine="480" w:firstLineChars="200"/>
              <w:rPr>
                <w:rFonts w:ascii="仿宋" w:hAnsi="仿宋" w:eastAsia="仿宋"/>
                <w:color w:val="auto"/>
                <w:sz w:val="24"/>
                <w:highlight w:val="none"/>
              </w:rPr>
            </w:pPr>
          </w:p>
        </w:tc>
      </w:tr>
    </w:tbl>
    <w:p>
      <w:pPr>
        <w:spacing w:line="360" w:lineRule="auto"/>
        <w:ind w:right="124" w:rightChars="59" w:firstLine="480" w:firstLineChars="200"/>
        <w:rPr>
          <w:rFonts w:ascii="仿宋" w:hAnsi="仿宋" w:eastAsia="仿宋" w:cs="宋体"/>
          <w:color w:val="auto"/>
          <w:sz w:val="24"/>
          <w:highlight w:val="none"/>
        </w:rPr>
      </w:pPr>
    </w:p>
    <w:p>
      <w:pPr>
        <w:adjustRightInd w:val="0"/>
        <w:snapToGrid w:val="0"/>
        <w:spacing w:line="400" w:lineRule="atLeast"/>
        <w:jc w:val="left"/>
        <w:rPr>
          <w:rFonts w:hint="eastAsia" w:ascii="仿宋" w:hAnsi="仿宋" w:eastAsia="仿宋"/>
          <w:bCs/>
          <w:color w:val="auto"/>
          <w:sz w:val="24"/>
          <w:highlight w:val="none"/>
          <w:lang w:eastAsia="zh-CN"/>
        </w:rPr>
      </w:pPr>
      <w:r>
        <w:rPr>
          <w:rFonts w:ascii="仿宋" w:hAnsi="仿宋" w:eastAsia="仿宋"/>
          <w:bCs/>
          <w:color w:val="auto"/>
          <w:sz w:val="24"/>
          <w:highlight w:val="none"/>
        </w:rPr>
        <w:t>附录4  资格预审条件(信誉最低要求)</w:t>
      </w:r>
      <w:r>
        <w:rPr>
          <w:rFonts w:hint="eastAsia" w:ascii="仿宋" w:hAnsi="仿宋" w:eastAsia="仿宋"/>
          <w:bCs/>
          <w:color w:val="auto"/>
          <w:sz w:val="24"/>
          <w:highlight w:val="none"/>
        </w:rPr>
        <w:t>增加“</w:t>
      </w:r>
      <w:r>
        <w:rPr>
          <w:rFonts w:hint="eastAsia" w:ascii="仿宋" w:hAnsi="仿宋" w:eastAsia="仿宋" w:cs="宋体"/>
          <w:color w:val="auto"/>
          <w:sz w:val="24"/>
          <w:highlight w:val="none"/>
        </w:rPr>
        <w:t>投标人开标当天，在中山市公路水运工程企业诚信管理平台的诚信等级未被评为D级。</w:t>
      </w:r>
      <w:r>
        <w:rPr>
          <w:rFonts w:hint="eastAsia" w:ascii="仿宋" w:hAnsi="仿宋" w:eastAsia="仿宋"/>
          <w:bCs/>
          <w:color w:val="auto"/>
          <w:sz w:val="24"/>
          <w:highlight w:val="none"/>
        </w:rPr>
        <w:t>”表述</w:t>
      </w:r>
      <w:r>
        <w:rPr>
          <w:rFonts w:hint="eastAsia" w:ascii="仿宋" w:hAnsi="仿宋" w:eastAsia="仿宋"/>
          <w:bCs/>
          <w:color w:val="auto"/>
          <w:sz w:val="24"/>
          <w:highlight w:val="none"/>
          <w:lang w:eastAsia="zh-CN"/>
        </w:rPr>
        <w:t>。</w:t>
      </w:r>
    </w:p>
    <w:p>
      <w:pPr>
        <w:pStyle w:val="6"/>
        <w:rPr>
          <w:rFonts w:ascii="仿宋" w:hAnsi="仿宋" w:eastAsia="仿宋"/>
          <w:color w:val="auto"/>
          <w:sz w:val="24"/>
          <w:szCs w:val="24"/>
          <w:highlight w:val="none"/>
        </w:rPr>
      </w:pPr>
      <w:r>
        <w:rPr>
          <w:rFonts w:hint="eastAsia" w:ascii="仿宋" w:hAnsi="仿宋" w:eastAsia="仿宋"/>
          <w:color w:val="auto"/>
          <w:sz w:val="24"/>
          <w:szCs w:val="24"/>
          <w:highlight w:val="none"/>
        </w:rPr>
        <w:t>三、评标办法相应部分修改如下：</w:t>
      </w:r>
    </w:p>
    <w:tbl>
      <w:tblPr>
        <w:tblStyle w:val="12"/>
        <w:tblW w:w="96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9"/>
        <w:gridCol w:w="199"/>
        <w:gridCol w:w="1081"/>
        <w:gridCol w:w="73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ascii="仿宋" w:hAnsi="仿宋" w:eastAsia="仿宋"/>
                <w:color w:val="auto"/>
                <w:sz w:val="24"/>
                <w:highlight w:val="none"/>
              </w:rPr>
            </w:pPr>
            <w:r>
              <w:rPr>
                <w:rFonts w:ascii="仿宋" w:hAnsi="仿宋" w:eastAsia="仿宋"/>
                <w:color w:val="auto"/>
                <w:sz w:val="24"/>
                <w:highlight w:val="none"/>
              </w:rPr>
              <w:t>2.1.1</w:t>
            </w:r>
          </w:p>
          <w:p>
            <w:pPr>
              <w:spacing w:line="380" w:lineRule="atLeast"/>
              <w:jc w:val="center"/>
              <w:rPr>
                <w:rFonts w:ascii="仿宋" w:hAnsi="仿宋" w:eastAsia="仿宋"/>
                <w:color w:val="auto"/>
                <w:sz w:val="24"/>
                <w:highlight w:val="none"/>
              </w:rPr>
            </w:pPr>
            <w:r>
              <w:rPr>
                <w:rFonts w:ascii="仿宋" w:hAnsi="仿宋" w:eastAsia="仿宋"/>
                <w:color w:val="auto"/>
                <w:sz w:val="24"/>
                <w:highlight w:val="none"/>
              </w:rPr>
              <w:t>2.1.3</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ascii="仿宋" w:hAnsi="仿宋" w:eastAsia="仿宋"/>
                <w:color w:val="auto"/>
                <w:sz w:val="24"/>
                <w:highlight w:val="none"/>
              </w:rPr>
            </w:pPr>
            <w:r>
              <w:rPr>
                <w:rFonts w:ascii="仿宋" w:hAnsi="仿宋" w:eastAsia="仿宋"/>
                <w:color w:val="auto"/>
                <w:sz w:val="24"/>
                <w:highlight w:val="none"/>
              </w:rPr>
              <w:t>形式评审与响应性评审标准</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40" w:lineRule="atLeast"/>
              <w:ind w:firstLine="420" w:firstLineChars="200"/>
              <w:rPr>
                <w:rFonts w:hint="eastAsia"/>
                <w:color w:val="auto"/>
                <w:highlight w:val="none"/>
                <w:lang w:val="en-US" w:eastAsia="zh-CN"/>
              </w:rPr>
            </w:pPr>
            <w:r>
              <w:rPr>
                <w:rFonts w:hint="eastAsia"/>
                <w:color w:val="auto"/>
                <w:highlight w:val="none"/>
                <w:lang w:val="en-US" w:eastAsia="zh-CN"/>
              </w:rPr>
              <w:t>第一个信封（商务及技术文件）评审标准部分内容修改为：</w:t>
            </w:r>
          </w:p>
          <w:p>
            <w:pPr>
              <w:numPr>
                <w:ilvl w:val="-1"/>
                <w:numId w:val="0"/>
              </w:numPr>
              <w:spacing w:line="340" w:lineRule="atLeast"/>
              <w:ind w:firstLine="420" w:firstLine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13</w:t>
            </w:r>
            <w:r>
              <w:rPr>
                <w:rFonts w:hint="eastAsia"/>
                <w:color w:val="auto"/>
                <w:highlight w:val="none"/>
                <w:lang w:eastAsia="zh-CN"/>
              </w:rPr>
              <w:t>）</w:t>
            </w:r>
            <w:r>
              <w:rPr>
                <w:rFonts w:hint="eastAsia"/>
                <w:color w:val="auto"/>
                <w:highlight w:val="none"/>
              </w:rPr>
              <w:t>投标</w:t>
            </w:r>
            <w:r>
              <w:rPr>
                <w:color w:val="auto"/>
                <w:highlight w:val="none"/>
              </w:rPr>
              <w:t>文件符合</w:t>
            </w:r>
            <w:r>
              <w:rPr>
                <w:rFonts w:hint="eastAsia"/>
                <w:color w:val="auto"/>
                <w:highlight w:val="none"/>
              </w:rPr>
              <w:t>招标</w:t>
            </w:r>
            <w:r>
              <w:rPr>
                <w:color w:val="auto"/>
                <w:highlight w:val="none"/>
              </w:rPr>
              <w:t>文件第二章“</w:t>
            </w:r>
            <w:r>
              <w:rPr>
                <w:rFonts w:hint="eastAsia"/>
                <w:color w:val="auto"/>
                <w:highlight w:val="none"/>
              </w:rPr>
              <w:t>投标</w:t>
            </w:r>
            <w:r>
              <w:rPr>
                <w:color w:val="auto"/>
                <w:highlight w:val="none"/>
              </w:rPr>
              <w:t>人须知”第3.7.4项规定</w:t>
            </w:r>
            <w:r>
              <w:rPr>
                <w:rFonts w:hint="eastAsia"/>
                <w:color w:val="auto"/>
                <w:highlight w:val="none"/>
              </w:rPr>
              <w:t>。</w:t>
            </w:r>
          </w:p>
          <w:p>
            <w:pPr>
              <w:numPr>
                <w:ilvl w:val="-1"/>
                <w:numId w:val="0"/>
              </w:numPr>
              <w:spacing w:line="340" w:lineRule="atLeast"/>
              <w:ind w:firstLine="420" w:firstLineChars="200"/>
              <w:rPr>
                <w:rFonts w:hint="eastAsia"/>
                <w:color w:val="auto"/>
                <w:highlight w:val="none"/>
                <w:lang w:eastAsia="zh-CN"/>
              </w:rPr>
            </w:pPr>
            <w:r>
              <w:rPr>
                <w:rFonts w:hint="default"/>
                <w:color w:val="auto"/>
                <w:highlight w:val="none"/>
                <w:lang w:eastAsia="zh-CN"/>
              </w:rPr>
              <w:t>第二</w:t>
            </w:r>
            <w:r>
              <w:rPr>
                <w:rFonts w:hint="eastAsia"/>
                <w:color w:val="auto"/>
                <w:highlight w:val="none"/>
                <w:lang w:eastAsia="zh-CN"/>
              </w:rPr>
              <w:t>个</w:t>
            </w:r>
            <w:r>
              <w:rPr>
                <w:rFonts w:hint="default"/>
                <w:color w:val="auto"/>
                <w:highlight w:val="none"/>
                <w:lang w:eastAsia="zh-CN"/>
              </w:rPr>
              <w:t>信封（</w:t>
            </w:r>
            <w:r>
              <w:rPr>
                <w:rFonts w:hint="eastAsia"/>
                <w:color w:val="auto"/>
                <w:highlight w:val="none"/>
                <w:lang w:eastAsia="zh-CN"/>
              </w:rPr>
              <w:t>报价文件</w:t>
            </w:r>
            <w:r>
              <w:rPr>
                <w:rFonts w:hint="default"/>
                <w:color w:val="auto"/>
                <w:highlight w:val="none"/>
                <w:lang w:eastAsia="zh-CN"/>
              </w:rPr>
              <w:t>）</w:t>
            </w:r>
            <w:r>
              <w:rPr>
                <w:rFonts w:hint="eastAsia"/>
                <w:color w:val="auto"/>
                <w:highlight w:val="none"/>
                <w:lang w:eastAsia="zh-CN"/>
              </w:rPr>
              <w:t>评审标准部分内容修改为：</w:t>
            </w:r>
          </w:p>
          <w:p>
            <w:pPr>
              <w:pStyle w:val="2"/>
              <w:rPr>
                <w:rFonts w:hint="default" w:eastAsia="宋体"/>
                <w:lang w:eastAsia="zh-CN"/>
              </w:rPr>
            </w:pPr>
            <w:r>
              <w:rPr>
                <w:rFonts w:hint="eastAsia"/>
                <w:color w:val="auto"/>
                <w:highlight w:val="none"/>
                <w:lang w:eastAsia="zh-CN"/>
              </w:rPr>
              <w:t>（</w:t>
            </w:r>
            <w:r>
              <w:rPr>
                <w:rFonts w:hint="eastAsia"/>
                <w:color w:val="auto"/>
                <w:highlight w:val="none"/>
                <w:lang w:val="en-US" w:eastAsia="zh-CN"/>
              </w:rPr>
              <w:t>6</w:t>
            </w:r>
            <w:r>
              <w:rPr>
                <w:rFonts w:hint="eastAsia"/>
                <w:color w:val="auto"/>
                <w:highlight w:val="none"/>
                <w:lang w:eastAsia="zh-CN"/>
              </w:rPr>
              <w:t>）</w:t>
            </w:r>
            <w:r>
              <w:rPr>
                <w:rFonts w:hint="eastAsia" w:ascii="Calibri" w:hAnsi="Calibri" w:eastAsia="宋体" w:cs="Times New Roman"/>
                <w:b w:val="0"/>
                <w:bCs w:val="0"/>
                <w:sz w:val="21"/>
                <w:szCs w:val="24"/>
              </w:rPr>
              <w:t>投标文件符合招标文件第二章“投标人须知”第3.7.4项规定。</w:t>
            </w:r>
          </w:p>
          <w:p>
            <w:pPr>
              <w:pStyle w:val="2"/>
              <w:widowControl w:val="0"/>
              <w:numPr>
                <w:ilvl w:val="0"/>
                <w:numId w:val="0"/>
              </w:numPr>
              <w:spacing w:after="120"/>
              <w:jc w:val="both"/>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ascii="仿宋" w:hAnsi="仿宋" w:eastAsia="仿宋"/>
                <w:color w:val="auto"/>
                <w:sz w:val="24"/>
                <w:highlight w:val="none"/>
              </w:rPr>
            </w:pPr>
            <w:r>
              <w:rPr>
                <w:rFonts w:hint="eastAsia" w:ascii="仿宋" w:hAnsi="仿宋" w:eastAsia="仿宋"/>
                <w:color w:val="auto"/>
                <w:sz w:val="24"/>
                <w:highlight w:val="none"/>
              </w:rPr>
              <w:t>2.2.2</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ascii="仿宋" w:hAnsi="仿宋" w:eastAsia="仿宋"/>
                <w:color w:val="auto"/>
                <w:sz w:val="24"/>
                <w:highlight w:val="none"/>
              </w:rPr>
            </w:pPr>
            <w:r>
              <w:rPr>
                <w:rFonts w:hint="eastAsia" w:ascii="仿宋" w:hAnsi="仿宋" w:eastAsia="仿宋"/>
                <w:color w:val="auto"/>
                <w:sz w:val="24"/>
                <w:highlight w:val="none"/>
              </w:rPr>
              <w:t>评标基准价计算方法</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40" w:lineRule="atLeast"/>
              <w:ind w:firstLine="480" w:firstLineChars="200"/>
              <w:rPr>
                <w:rFonts w:ascii="仿宋" w:hAnsi="仿宋" w:eastAsia="仿宋"/>
                <w:color w:val="auto"/>
                <w:sz w:val="24"/>
                <w:highlight w:val="none"/>
              </w:rPr>
            </w:pPr>
            <w:r>
              <w:rPr>
                <w:rFonts w:hint="eastAsia" w:ascii="仿宋" w:hAnsi="仿宋" w:eastAsia="仿宋"/>
                <w:color w:val="auto"/>
                <w:sz w:val="24"/>
                <w:highlight w:val="none"/>
              </w:rPr>
              <w:t>补充以下表述：即使某投标文件第二信封未通过形式评审与响应性评审，如其报价处于参与评标基准价计算的评标价的有效范围内，其评标价仍应参与有效评标价平均值的计算。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9661" w:type="dxa"/>
            <w:gridSpan w:val="4"/>
            <w:tcBorders>
              <w:top w:val="single" w:color="auto" w:sz="2" w:space="0"/>
              <w:left w:val="single" w:color="auto" w:sz="2" w:space="0"/>
              <w:bottom w:val="single" w:color="auto" w:sz="2" w:space="0"/>
              <w:right w:val="single" w:color="auto" w:sz="2" w:space="0"/>
            </w:tcBorders>
            <w:vAlign w:val="center"/>
          </w:tcPr>
          <w:p>
            <w:pPr>
              <w:spacing w:line="320" w:lineRule="exact"/>
              <w:ind w:firstLine="360" w:firstLineChars="150"/>
              <w:rPr>
                <w:rFonts w:ascii="仿宋" w:hAnsi="仿宋" w:eastAsia="仿宋"/>
                <w:color w:val="auto"/>
                <w:sz w:val="24"/>
                <w:highlight w:val="none"/>
              </w:rPr>
            </w:pPr>
            <w:r>
              <w:rPr>
                <w:rFonts w:hint="eastAsia" w:ascii="仿宋" w:hAnsi="仿宋" w:eastAsia="仿宋"/>
                <w:color w:val="auto"/>
                <w:sz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1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3.7.1</w:t>
            </w:r>
          </w:p>
        </w:tc>
        <w:tc>
          <w:tcPr>
            <w:tcW w:w="8473"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评标办法正文3.7.1项内容修改如下：</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3.7.1在评标过程中，评标委员会可</w:t>
            </w:r>
            <w:r>
              <w:rPr>
                <w:rFonts w:hint="eastAsia" w:ascii="仿宋" w:hAnsi="仿宋" w:eastAsia="仿宋"/>
                <w:color w:val="auto"/>
                <w:sz w:val="24"/>
                <w:highlight w:val="none"/>
              </w:rPr>
              <w:t>通过工程建设项目交易业务系统</w:t>
            </w:r>
            <w:r>
              <w:rPr>
                <w:rFonts w:hint="eastAsia" w:ascii="仿宋" w:hAnsi="仿宋" w:eastAsia="仿宋" w:cs="宋体"/>
                <w:color w:val="auto"/>
                <w:sz w:val="24"/>
                <w:highlight w:val="none"/>
              </w:rPr>
              <w:t>要求投标人对所提交投标文件中含义不明确的内容、明显文字或计算错误进行澄清或说明，</w:t>
            </w:r>
            <w:r>
              <w:rPr>
                <w:rFonts w:hint="eastAsia" w:ascii="仿宋" w:hAnsi="仿宋" w:eastAsia="仿宋"/>
                <w:color w:val="auto"/>
                <w:sz w:val="24"/>
                <w:highlight w:val="none"/>
              </w:rPr>
              <w:t>投标人应及时查看</w:t>
            </w:r>
            <w:r>
              <w:rPr>
                <w:rFonts w:hint="eastAsia" w:ascii="仿宋" w:hAnsi="仿宋" w:eastAsia="仿宋" w:cs="Arial"/>
                <w:color w:val="auto"/>
                <w:kern w:val="0"/>
                <w:sz w:val="24"/>
                <w:highlight w:val="none"/>
              </w:rPr>
              <w:t>“电子交易平台”</w:t>
            </w:r>
            <w:r>
              <w:rPr>
                <w:rFonts w:hint="eastAsia" w:ascii="仿宋" w:hAnsi="仿宋" w:eastAsia="仿宋"/>
                <w:color w:val="auto"/>
                <w:sz w:val="24"/>
                <w:highlight w:val="none"/>
              </w:rPr>
              <w:t>并在规定时间内提交澄清或说明。</w:t>
            </w:r>
            <w:r>
              <w:rPr>
                <w:rFonts w:hint="eastAsia" w:ascii="仿宋" w:hAnsi="仿宋" w:eastAsia="仿宋" w:cs="宋体"/>
                <w:color w:val="auto"/>
                <w:sz w:val="24"/>
                <w:highlight w:val="none"/>
              </w:rPr>
              <w:t>评标委员会不接受投标人主动提出的澄清、说明。投标人不按评标委员会要求及时通过</w:t>
            </w:r>
            <w:r>
              <w:rPr>
                <w:rFonts w:hint="eastAsia" w:ascii="仿宋" w:hAnsi="仿宋" w:eastAsia="仿宋" w:cs="Arial"/>
                <w:color w:val="auto"/>
                <w:kern w:val="0"/>
                <w:sz w:val="24"/>
                <w:highlight w:val="none"/>
              </w:rPr>
              <w:t>“电子交易平台”</w:t>
            </w:r>
            <w:r>
              <w:rPr>
                <w:rFonts w:hint="eastAsia" w:ascii="仿宋" w:hAnsi="仿宋" w:eastAsia="仿宋" w:cs="宋体"/>
                <w:color w:val="auto"/>
                <w:sz w:val="24"/>
                <w:highlight w:val="none"/>
              </w:rPr>
              <w:t>澄清或说明的，评标委员会应否决其投标。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1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3.7.2</w:t>
            </w:r>
          </w:p>
        </w:tc>
        <w:tc>
          <w:tcPr>
            <w:tcW w:w="8473"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评标办法正文3.7.2项内容修改如下：</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3.7.2 澄清、说明不得超出投标文件的范围或改变投标文件的实质性内容（算术性错误修正的除外）。投标人</w:t>
            </w:r>
            <w:r>
              <w:rPr>
                <w:rFonts w:hint="eastAsia" w:ascii="仿宋" w:hAnsi="仿宋" w:eastAsia="仿宋"/>
                <w:color w:val="auto"/>
                <w:sz w:val="24"/>
                <w:highlight w:val="none"/>
              </w:rPr>
              <w:t>通过</w:t>
            </w:r>
            <w:r>
              <w:rPr>
                <w:rFonts w:hint="eastAsia" w:ascii="仿宋" w:hAnsi="仿宋" w:eastAsia="仿宋" w:cs="Arial"/>
                <w:color w:val="auto"/>
                <w:kern w:val="0"/>
                <w:sz w:val="24"/>
                <w:highlight w:val="none"/>
              </w:rPr>
              <w:t>“电子交易平台”</w:t>
            </w:r>
            <w:r>
              <w:rPr>
                <w:rFonts w:hint="eastAsia" w:ascii="仿宋" w:hAnsi="仿宋" w:eastAsia="仿宋"/>
                <w:color w:val="auto"/>
                <w:sz w:val="24"/>
                <w:highlight w:val="none"/>
              </w:rPr>
              <w:t>提交的</w:t>
            </w:r>
            <w:r>
              <w:rPr>
                <w:rFonts w:hint="eastAsia" w:ascii="仿宋" w:hAnsi="仿宋" w:eastAsia="仿宋" w:cs="宋体"/>
                <w:color w:val="auto"/>
                <w:sz w:val="24"/>
                <w:highlight w:val="none"/>
              </w:rPr>
              <w:t>澄清、说明属于投标文件的组成部分。</w:t>
            </w:r>
          </w:p>
        </w:tc>
      </w:tr>
    </w:tbl>
    <w:p>
      <w:pPr>
        <w:rPr>
          <w:rFonts w:ascii="仿宋" w:hAnsi="仿宋" w:eastAsia="仿宋"/>
          <w:color w:val="auto"/>
          <w:sz w:val="24"/>
          <w:highlight w:val="none"/>
        </w:rPr>
      </w:pPr>
    </w:p>
    <w:p>
      <w:pPr>
        <w:rPr>
          <w:rFonts w:ascii="仿宋" w:hAnsi="仿宋" w:eastAsia="仿宋"/>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rPr>
          <w:rFonts w:ascii="仿宋" w:hAnsi="仿宋" w:eastAsia="仿宋"/>
          <w:color w:val="auto"/>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隶书">
    <w:panose1 w:val="02010509060101010101"/>
    <w:charset w:val="86"/>
    <w:family w:val="modern"/>
    <w:pitch w:val="default"/>
    <w:sig w:usb0="00000001" w:usb1="080E0000" w:usb2="00000000" w:usb3="00000000" w:csb0="00040000" w:csb1="00000000"/>
  </w:font>
  <w:font w:name="PMingLiUfalt">
    <w:altName w:val="MingLiU-ExtB"/>
    <w:panose1 w:val="00000000000000000000"/>
    <w:charset w:val="88"/>
    <w:family w:val="roman"/>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Comic Sans MS">
    <w:panose1 w:val="030F0702030302020204"/>
    <w:charset w:val="00"/>
    <w:family w:val="script"/>
    <w:pitch w:val="default"/>
    <w:sig w:usb0="00000287" w:usb1="00000000" w:usb2="00000000" w:usb3="00000000" w:csb0="2000009F" w:csb1="00000000"/>
  </w:font>
  <w:font w:name="方正宋三简体">
    <w:altName w:val="宋体"/>
    <w:panose1 w:val="02010601030101010101"/>
    <w:charset w:val="86"/>
    <w:family w:val="auto"/>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创艺简老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Garamond">
    <w:altName w:val="PMingLiU-ExtB"/>
    <w:panose1 w:val="02020404030301010803"/>
    <w:charset w:val="00"/>
    <w:family w:val="roman"/>
    <w:pitch w:val="default"/>
    <w:sig w:usb0="00000000" w:usb1="00000000" w:usb2="00000000" w:usb3="00000000" w:csb0="0000009F" w:csb1="00000000"/>
  </w:font>
  <w:font w:name="@宋体">
    <w:panose1 w:val="02010600030101010101"/>
    <w:charset w:val="86"/>
    <w:family w:val="auto"/>
    <w:pitch w:val="default"/>
    <w:sig w:usb0="00000003" w:usb1="288F0000" w:usb2="00000006" w:usb3="00000000" w:csb0="00040001" w:csb1="00000000"/>
  </w:font>
  <w:font w:name="创艺简黑体">
    <w:altName w:val="黑体"/>
    <w:panose1 w:val="00000000000000000000"/>
    <w:charset w:val="86"/>
    <w:family w:val="auto"/>
    <w:pitch w:val="default"/>
    <w:sig w:usb0="00000000" w:usb1="00000000" w:usb2="00000010"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黑体">
    <w:panose1 w:val="02010609060101010101"/>
    <w:charset w:val="86"/>
    <w:family w:val="modern"/>
    <w:pitch w:val="default"/>
    <w:sig w:usb0="800002BF" w:usb1="38CF7CFA" w:usb2="00000016" w:usb3="00000000" w:csb0="00040001" w:csb1="00000000"/>
  </w:font>
  <w:font w:name="Century Gothic">
    <w:altName w:val="Century"/>
    <w:panose1 w:val="020B0502020202020204"/>
    <w:charset w:val="00"/>
    <w:family w:val="swiss"/>
    <w:pitch w:val="default"/>
    <w:sig w:usb0="00000000" w:usb1="00000000" w:usb2="00000000" w:usb3="00000000" w:csb0="0000009F" w:csb1="00000000"/>
  </w:font>
  <w:font w:name="Plotter">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黑_GBK">
    <w:altName w:val="黑体"/>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Century">
    <w:panose1 w:val="020406040505050203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5653"/>
    <w:rsid w:val="00053FED"/>
    <w:rsid w:val="000B2B78"/>
    <w:rsid w:val="000E3173"/>
    <w:rsid w:val="000E52C6"/>
    <w:rsid w:val="000F6DC6"/>
    <w:rsid w:val="00125843"/>
    <w:rsid w:val="00156550"/>
    <w:rsid w:val="00181010"/>
    <w:rsid w:val="001C66D6"/>
    <w:rsid w:val="0022149C"/>
    <w:rsid w:val="00255116"/>
    <w:rsid w:val="00271E91"/>
    <w:rsid w:val="00295BF1"/>
    <w:rsid w:val="00297159"/>
    <w:rsid w:val="002C14FA"/>
    <w:rsid w:val="002E4447"/>
    <w:rsid w:val="003200C8"/>
    <w:rsid w:val="00376A89"/>
    <w:rsid w:val="003A3336"/>
    <w:rsid w:val="00460CC8"/>
    <w:rsid w:val="00471FDA"/>
    <w:rsid w:val="00613AC2"/>
    <w:rsid w:val="00643C42"/>
    <w:rsid w:val="00645C27"/>
    <w:rsid w:val="00670103"/>
    <w:rsid w:val="006B4CAA"/>
    <w:rsid w:val="00704C80"/>
    <w:rsid w:val="00725304"/>
    <w:rsid w:val="00763295"/>
    <w:rsid w:val="00773E7D"/>
    <w:rsid w:val="007903E8"/>
    <w:rsid w:val="007F20EA"/>
    <w:rsid w:val="008E679A"/>
    <w:rsid w:val="00932876"/>
    <w:rsid w:val="00935DFD"/>
    <w:rsid w:val="00A45653"/>
    <w:rsid w:val="00C12DE7"/>
    <w:rsid w:val="00C64A54"/>
    <w:rsid w:val="00C948DE"/>
    <w:rsid w:val="00CE1498"/>
    <w:rsid w:val="00CF3542"/>
    <w:rsid w:val="00CF3A9D"/>
    <w:rsid w:val="00DF02C7"/>
    <w:rsid w:val="00E30EB5"/>
    <w:rsid w:val="00EB0CB4"/>
    <w:rsid w:val="00EB149C"/>
    <w:rsid w:val="00EC278D"/>
    <w:rsid w:val="00F67834"/>
    <w:rsid w:val="01347B72"/>
    <w:rsid w:val="059E1B54"/>
    <w:rsid w:val="07210A27"/>
    <w:rsid w:val="07C51BB9"/>
    <w:rsid w:val="0A1D108B"/>
    <w:rsid w:val="0CDC3AD2"/>
    <w:rsid w:val="0D4B3052"/>
    <w:rsid w:val="0EEA1C78"/>
    <w:rsid w:val="0FDE1B46"/>
    <w:rsid w:val="11FF660F"/>
    <w:rsid w:val="174617FA"/>
    <w:rsid w:val="18173307"/>
    <w:rsid w:val="1919787D"/>
    <w:rsid w:val="1A805F84"/>
    <w:rsid w:val="1C3D1AD1"/>
    <w:rsid w:val="1DCF7268"/>
    <w:rsid w:val="1EBB2869"/>
    <w:rsid w:val="1FB073D7"/>
    <w:rsid w:val="224671C6"/>
    <w:rsid w:val="23696A7F"/>
    <w:rsid w:val="237B0C80"/>
    <w:rsid w:val="2B542356"/>
    <w:rsid w:val="2B877C69"/>
    <w:rsid w:val="2D7241B4"/>
    <w:rsid w:val="2E2B0424"/>
    <w:rsid w:val="2F5E55CB"/>
    <w:rsid w:val="2FC12B5C"/>
    <w:rsid w:val="309B3C1A"/>
    <w:rsid w:val="31CA5FF6"/>
    <w:rsid w:val="38111A52"/>
    <w:rsid w:val="389D13D7"/>
    <w:rsid w:val="3A1D6D83"/>
    <w:rsid w:val="3D736747"/>
    <w:rsid w:val="40192E91"/>
    <w:rsid w:val="404273B6"/>
    <w:rsid w:val="40C55276"/>
    <w:rsid w:val="40D91A59"/>
    <w:rsid w:val="41665D46"/>
    <w:rsid w:val="43E911B6"/>
    <w:rsid w:val="4533429D"/>
    <w:rsid w:val="45895571"/>
    <w:rsid w:val="45D715D1"/>
    <w:rsid w:val="48213C60"/>
    <w:rsid w:val="49320451"/>
    <w:rsid w:val="4AAA787F"/>
    <w:rsid w:val="4ECC572E"/>
    <w:rsid w:val="52776424"/>
    <w:rsid w:val="595469CB"/>
    <w:rsid w:val="5A350113"/>
    <w:rsid w:val="5BB91A87"/>
    <w:rsid w:val="5C9F2D3F"/>
    <w:rsid w:val="5CD3630A"/>
    <w:rsid w:val="61A64BE6"/>
    <w:rsid w:val="61FC7AEA"/>
    <w:rsid w:val="62173A57"/>
    <w:rsid w:val="66921C6E"/>
    <w:rsid w:val="6E3362D9"/>
    <w:rsid w:val="6ED65F80"/>
    <w:rsid w:val="74CB2F57"/>
    <w:rsid w:val="79F6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1"/>
    <w:qFormat/>
    <w:uiPriority w:val="9"/>
    <w:pPr>
      <w:outlineLvl w:val="0"/>
    </w:pPr>
  </w:style>
  <w:style w:type="paragraph" w:styleId="5">
    <w:name w:val="heading 2"/>
    <w:basedOn w:val="1"/>
    <w:next w:val="1"/>
    <w:unhideWhenUsed/>
    <w:qFormat/>
    <w:uiPriority w:val="9"/>
    <w:pPr>
      <w:ind w:firstLine="2125" w:firstLineChars="882"/>
      <w:outlineLvl w:val="1"/>
    </w:pPr>
    <w:rPr>
      <w:rFonts w:ascii="宋体" w:hAnsi="宋体"/>
      <w:b/>
      <w:sz w:val="24"/>
    </w:rPr>
  </w:style>
  <w:style w:type="paragraph" w:styleId="4">
    <w:name w:val="heading 3"/>
    <w:basedOn w:val="5"/>
    <w:next w:val="1"/>
    <w:link w:val="15"/>
    <w:unhideWhenUsed/>
    <w:qFormat/>
    <w:uiPriority w:val="9"/>
    <w:pPr>
      <w:keepNext/>
      <w:keepLines/>
      <w:spacing w:before="260" w:after="260" w:line="416" w:lineRule="auto"/>
      <w:outlineLvl w:val="2"/>
    </w:pPr>
    <w:rPr>
      <w:bCs/>
      <w:sz w:val="32"/>
      <w:szCs w:val="32"/>
    </w:rPr>
  </w:style>
  <w:style w:type="paragraph" w:styleId="6">
    <w:name w:val="heading 4"/>
    <w:basedOn w:val="1"/>
    <w:next w:val="1"/>
    <w:link w:val="1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7">
    <w:name w:val="annotation text"/>
    <w:basedOn w:val="1"/>
    <w:link w:val="16"/>
    <w:qFormat/>
    <w:uiPriority w:val="0"/>
    <w:pPr>
      <w:jc w:val="left"/>
    </w:pPr>
  </w:style>
  <w:style w:type="paragraph" w:styleId="8">
    <w:name w:val="footnote text"/>
    <w:basedOn w:val="1"/>
    <w:link w:val="18"/>
    <w:qFormat/>
    <w:uiPriority w:val="99"/>
    <w:pPr>
      <w:snapToGrid w:val="0"/>
      <w:jc w:val="left"/>
    </w:pPr>
    <w:rPr>
      <w:rFonts w:ascii="MingLiU_HKSCS" w:hAnsi="MingLiU_HKSCS"/>
      <w:sz w:val="18"/>
      <w:szCs w:val="18"/>
    </w:rPr>
  </w:style>
  <w:style w:type="character" w:styleId="10">
    <w:name w:val="Hyperlink"/>
    <w:qFormat/>
    <w:uiPriority w:val="99"/>
    <w:rPr>
      <w:rFonts w:cs="Times New Roman"/>
      <w:color w:val="0000FF"/>
      <w:u w:val="single"/>
    </w:rPr>
  </w:style>
  <w:style w:type="character" w:styleId="11">
    <w:name w:val="footnote reference"/>
    <w:qFormat/>
    <w:uiPriority w:val="99"/>
    <w:rPr>
      <w:vertAlign w:val="superscript"/>
    </w:rPr>
  </w:style>
  <w:style w:type="paragraph" w:customStyle="1" w:styleId="13">
    <w:name w:val="Char Char Char Char1 Char Char"/>
    <w:basedOn w:val="1"/>
    <w:qFormat/>
    <w:uiPriority w:val="0"/>
    <w:pPr>
      <w:widowControl/>
      <w:spacing w:after="160" w:line="240" w:lineRule="exact"/>
      <w:jc w:val="left"/>
    </w:pPr>
    <w:rPr>
      <w:rFonts w:ascii="Verdana" w:hAnsi="Verdana"/>
      <w:kern w:val="0"/>
      <w:szCs w:val="20"/>
      <w:lang w:eastAsia="en-US"/>
    </w:rPr>
  </w:style>
  <w:style w:type="character" w:customStyle="1" w:styleId="14">
    <w:name w:val="标题 4 Char"/>
    <w:basedOn w:val="9"/>
    <w:link w:val="6"/>
    <w:semiHidden/>
    <w:qFormat/>
    <w:uiPriority w:val="9"/>
    <w:rPr>
      <w:rFonts w:asciiTheme="majorHAnsi" w:hAnsiTheme="majorHAnsi" w:eastAsiaTheme="majorEastAsia" w:cstheme="majorBidi"/>
      <w:b/>
      <w:bCs/>
      <w:sz w:val="28"/>
      <w:szCs w:val="28"/>
    </w:rPr>
  </w:style>
  <w:style w:type="character" w:customStyle="1" w:styleId="15">
    <w:name w:val="标题 3 Char"/>
    <w:basedOn w:val="9"/>
    <w:link w:val="4"/>
    <w:semiHidden/>
    <w:qFormat/>
    <w:uiPriority w:val="9"/>
    <w:rPr>
      <w:rFonts w:ascii="Calibri" w:hAnsi="Calibri" w:eastAsia="宋体" w:cs="Times New Roman"/>
      <w:b/>
      <w:bCs/>
      <w:sz w:val="32"/>
      <w:szCs w:val="32"/>
    </w:rPr>
  </w:style>
  <w:style w:type="character" w:customStyle="1" w:styleId="16">
    <w:name w:val="批注文字 Char"/>
    <w:basedOn w:val="9"/>
    <w:link w:val="7"/>
    <w:qFormat/>
    <w:uiPriority w:val="0"/>
    <w:rPr>
      <w:rFonts w:ascii="Calibri" w:hAnsi="Calibri" w:eastAsia="宋体" w:cs="Times New Roman"/>
      <w:szCs w:val="24"/>
    </w:rPr>
  </w:style>
  <w:style w:type="character" w:customStyle="1" w:styleId="17">
    <w:name w:val="脚注文本 Char"/>
    <w:link w:val="8"/>
    <w:qFormat/>
    <w:uiPriority w:val="99"/>
    <w:rPr>
      <w:rFonts w:eastAsia="宋体"/>
      <w:kern w:val="2"/>
      <w:sz w:val="18"/>
      <w:szCs w:val="18"/>
    </w:rPr>
  </w:style>
  <w:style w:type="character" w:customStyle="1" w:styleId="18">
    <w:name w:val="脚注文本 Char1"/>
    <w:basedOn w:val="9"/>
    <w:link w:val="8"/>
    <w:semiHidden/>
    <w:qFormat/>
    <w:uiPriority w:val="99"/>
    <w:rPr>
      <w:rFonts w:ascii="Calibri" w:hAnsi="Calibri" w:eastAsia="宋体"/>
      <w:kern w:val="2"/>
      <w:sz w:val="18"/>
      <w:szCs w:val="18"/>
    </w:rPr>
  </w:style>
  <w:style w:type="paragraph" w:customStyle="1" w:styleId="1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947</Words>
  <Characters>5403</Characters>
  <Lines>45</Lines>
  <Paragraphs>12</Paragraphs>
  <TotalTime>2</TotalTime>
  <ScaleCrop>false</ScaleCrop>
  <LinksUpToDate>false</LinksUpToDate>
  <CharactersWithSpaces>6338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2021-09-14T16:26:00Z</dcterms:created>
  <dc:creator>Administrator</dc:creator>
  <cp:lastModifiedBy>何振族</cp:lastModifiedBy>
  <dcterms:modified xsi:type="dcterms:W3CDTF">2021-10-12T04:09:13Z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