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1311"/>
        <w:gridCol w:w="5073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79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各部门及公众反馈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意见汇总表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反馈意见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采纳情况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3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1、增加条款“省级资金拨付时间：省级资金按照省补贴实施方案相关要求，收到资金申请及验收合格意见后，市交通运输局会同市财政局在15个工作日内完成资金拨付。”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增加条款“市级资金拨付时间：市级资金分两年拨付，2022年6月30日前完成改造（以船舶检验证书发证日期为准，下同）的船舶，于2022年度优先拨付；2022年7月1日至2022年12月31日完成改造的船舶，于2023年6月30日前完成拨付。”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已采纳，增加相应条款。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建议起草部门按照规范性文件流程制定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已采纳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公众意见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无意见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41010"/>
    <w:rsid w:val="35F11572"/>
    <w:rsid w:val="3F2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市交通局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2022-03-09T03:10:00Z</dcterms:created>
  <dc:creator>李雨桐</dc:creator>
  <cp:lastModifiedBy>谭志夫</cp:lastModifiedBy>
  <dcterms:modified xsi:type="dcterms:W3CDTF">2022-06-06T01:18:19Z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