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w:t>
      </w:r>
      <w:r>
        <w:rPr>
          <w:rFonts w:hint="eastAsia" w:ascii="宋体" w:hAnsi="宋体" w:eastAsia="宋体" w:cs="宋体"/>
          <w:b/>
          <w:bCs/>
          <w:sz w:val="32"/>
          <w:szCs w:val="32"/>
          <w:lang w:val="zh-CN" w:eastAsia="zh-CN"/>
        </w:rPr>
        <w:t>中山市关于规范共享自行车管理服务的指导意见</w:t>
      </w:r>
      <w:r>
        <w:rPr>
          <w:rFonts w:hint="eastAsia" w:ascii="宋体" w:hAnsi="宋体" w:eastAsia="宋体" w:cs="宋体"/>
          <w:b/>
          <w:bCs/>
          <w:sz w:val="32"/>
          <w:szCs w:val="32"/>
        </w:rPr>
        <w:t>》修订对照表</w:t>
      </w:r>
    </w:p>
    <w:p>
      <w:pPr>
        <w:jc w:val="center"/>
        <w:rPr>
          <w:rFonts w:ascii="方正小标宋简体" w:eastAsia="方正小标宋简体"/>
          <w:sz w:val="24"/>
        </w:rPr>
      </w:pPr>
      <w:r>
        <w:rPr>
          <w:rFonts w:hint="eastAsia" w:ascii="方正小标宋简体" w:eastAsia="方正小标宋简体"/>
          <w:sz w:val="24"/>
        </w:rPr>
        <w:t>（修订征求意见稿中黑体部分为</w:t>
      </w:r>
      <w:r>
        <w:rPr>
          <w:rFonts w:hint="eastAsia" w:ascii="方正小标宋简体" w:eastAsia="方正小标宋简体"/>
          <w:sz w:val="24"/>
          <w:lang w:eastAsia="zh-CN"/>
        </w:rPr>
        <w:t>修订或</w:t>
      </w:r>
      <w:r>
        <w:rPr>
          <w:rFonts w:hint="eastAsia" w:ascii="方正小标宋简体" w:eastAsia="方正小标宋简体"/>
          <w:sz w:val="24"/>
        </w:rPr>
        <w:t>增补内容，带</w:t>
      </w:r>
      <w:r>
        <w:rPr>
          <w:rFonts w:hint="eastAsia" w:ascii="方正小标宋简体" w:eastAsia="方正小标宋简体"/>
          <w:sz w:val="24"/>
          <w:lang w:eastAsia="zh-CN"/>
        </w:rPr>
        <w:t>删除线</w:t>
      </w:r>
      <w:r>
        <w:rPr>
          <w:rFonts w:hint="eastAsia" w:ascii="方正小标宋简体" w:eastAsia="方正小标宋简体"/>
          <w:sz w:val="24"/>
        </w:rPr>
        <w:t>部分为删除内容）</w:t>
      </w:r>
    </w:p>
    <w:tbl>
      <w:tblPr>
        <w:tblStyle w:val="8"/>
        <w:tblW w:w="13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33"/>
        <w:gridCol w:w="850"/>
        <w:gridCol w:w="3391"/>
        <w:gridCol w:w="4925"/>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96" w:hRule="atLeast"/>
          <w:tblHeader/>
          <w:jc w:val="center"/>
        </w:trPr>
        <w:tc>
          <w:tcPr>
            <w:tcW w:w="633" w:type="dxa"/>
          </w:tcPr>
          <w:p>
            <w:pPr>
              <w:snapToGrid w:val="0"/>
              <w:spacing w:line="240" w:lineRule="auto"/>
              <w:jc w:val="center"/>
              <w:rPr>
                <w:rFonts w:hint="eastAsia" w:ascii="宋体" w:hAnsi="宋体" w:eastAsia="宋体" w:cs="宋体"/>
                <w:b/>
                <w:bCs/>
                <w:sz w:val="24"/>
              </w:rPr>
            </w:pPr>
          </w:p>
          <w:p>
            <w:pPr>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850" w:type="dxa"/>
            <w:vAlign w:val="center"/>
          </w:tcPr>
          <w:p>
            <w:pPr>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条号</w:t>
            </w:r>
          </w:p>
        </w:tc>
        <w:tc>
          <w:tcPr>
            <w:tcW w:w="3391" w:type="dxa"/>
            <w:vAlign w:val="center"/>
          </w:tcPr>
          <w:p>
            <w:pPr>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修订前</w:t>
            </w:r>
          </w:p>
          <w:p>
            <w:pPr>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内容</w:t>
            </w:r>
          </w:p>
        </w:tc>
        <w:tc>
          <w:tcPr>
            <w:tcW w:w="4925" w:type="dxa"/>
            <w:vAlign w:val="center"/>
          </w:tcPr>
          <w:p>
            <w:pPr>
              <w:snapToGrid w:val="0"/>
              <w:spacing w:line="240" w:lineRule="auto"/>
              <w:jc w:val="center"/>
              <w:rPr>
                <w:rFonts w:hint="eastAsia" w:ascii="宋体" w:hAnsi="宋体" w:eastAsia="宋体" w:cs="宋体"/>
                <w:b/>
                <w:bCs/>
                <w:sz w:val="24"/>
                <w:lang w:eastAsia="zh-CN"/>
              </w:rPr>
            </w:pPr>
            <w:r>
              <w:rPr>
                <w:rFonts w:hint="eastAsia" w:ascii="宋体" w:hAnsi="宋体" w:eastAsia="宋体" w:cs="宋体"/>
                <w:b/>
                <w:bCs/>
                <w:sz w:val="24"/>
              </w:rPr>
              <w:t>修订</w:t>
            </w:r>
            <w:r>
              <w:rPr>
                <w:rFonts w:hint="eastAsia" w:ascii="宋体" w:hAnsi="宋体" w:eastAsia="宋体" w:cs="宋体"/>
                <w:b/>
                <w:bCs/>
                <w:sz w:val="24"/>
                <w:lang w:eastAsia="zh-CN"/>
              </w:rPr>
              <w:t>或增补</w:t>
            </w:r>
          </w:p>
          <w:p>
            <w:pPr>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内容</w:t>
            </w:r>
          </w:p>
        </w:tc>
        <w:tc>
          <w:tcPr>
            <w:tcW w:w="3769" w:type="dxa"/>
            <w:vAlign w:val="center"/>
          </w:tcPr>
          <w:p>
            <w:pPr>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57" w:hRule="atLeast"/>
          <w:jc w:val="center"/>
        </w:trPr>
        <w:tc>
          <w:tcPr>
            <w:tcW w:w="633" w:type="dxa"/>
            <w:vAlign w:val="center"/>
          </w:tcPr>
          <w:p>
            <w:pPr>
              <w:spacing w:line="240" w:lineRule="auto"/>
              <w:jc w:val="center"/>
              <w:rPr>
                <w:rFonts w:ascii="仿宋_GB2312" w:eastAsia="仿宋_GB2312"/>
                <w:sz w:val="24"/>
              </w:rPr>
            </w:pPr>
            <w:r>
              <w:rPr>
                <w:rFonts w:hint="eastAsia" w:ascii="仿宋_GB2312" w:eastAsia="仿宋_GB2312"/>
                <w:sz w:val="24"/>
              </w:rPr>
              <w:t>1</w:t>
            </w:r>
          </w:p>
        </w:tc>
        <w:tc>
          <w:tcPr>
            <w:tcW w:w="850" w:type="dxa"/>
            <w:vAlign w:val="center"/>
          </w:tcPr>
          <w:p>
            <w:pPr>
              <w:spacing w:line="240" w:lineRule="auto"/>
              <w:jc w:val="center"/>
              <w:rPr>
                <w:rFonts w:hint="eastAsia" w:ascii="仿宋_GB2312" w:eastAsia="仿宋_GB2312"/>
                <w:sz w:val="24"/>
                <w:lang w:eastAsia="zh-CN"/>
              </w:rPr>
            </w:pPr>
            <w:r>
              <w:rPr>
                <w:rFonts w:hint="eastAsia" w:ascii="黑体" w:hAnsi="黑体" w:eastAsia="黑体" w:cs="黑体"/>
                <w:sz w:val="24"/>
                <w:lang w:eastAsia="zh-CN"/>
              </w:rPr>
              <w:t>一</w:t>
            </w:r>
            <w:r>
              <w:rPr>
                <w:rFonts w:hint="eastAsia" w:ascii="仿宋_GB2312" w:eastAsia="仿宋_GB2312"/>
                <w:sz w:val="24"/>
                <w:lang w:eastAsia="zh-CN"/>
              </w:rPr>
              <w:t>（二）</w:t>
            </w:r>
          </w:p>
        </w:tc>
        <w:tc>
          <w:tcPr>
            <w:tcW w:w="3391" w:type="dxa"/>
            <w:vAlign w:val="center"/>
          </w:tcPr>
          <w:p>
            <w:pPr>
              <w:widowControl w:val="0"/>
              <w:spacing w:line="240" w:lineRule="auto"/>
              <w:ind w:firstLine="360" w:firstLineChars="200"/>
              <w:jc w:val="left"/>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一是市场化运作。共享自行车运营服务，遵循政府规范管理、企业市场化运作的原则，由运营企业自主投放车辆并提供服务，政府规范引导并完善慢行交通设施规划建设。</w:t>
            </w:r>
          </w:p>
          <w:p>
            <w:pPr>
              <w:spacing w:line="240" w:lineRule="auto"/>
              <w:jc w:val="both"/>
              <w:rPr>
                <w:rFonts w:ascii="仿宋_GB2312" w:eastAsia="仿宋_GB2312"/>
                <w:sz w:val="28"/>
                <w:szCs w:val="28"/>
              </w:rPr>
            </w:pPr>
          </w:p>
        </w:tc>
        <w:tc>
          <w:tcPr>
            <w:tcW w:w="4925" w:type="dxa"/>
            <w:vAlign w:val="center"/>
          </w:tcPr>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仿宋" w:hAnsi="仿宋" w:eastAsia="仿宋"/>
                <w:color w:val="000000"/>
                <w:kern w:val="0"/>
                <w:sz w:val="18"/>
                <w:lang w:val="en-US" w:eastAsia="zh-CN"/>
              </w:rPr>
              <w:t>一是</w:t>
            </w:r>
            <w:r>
              <w:rPr>
                <w:rFonts w:hint="eastAsia" w:ascii="仿宋" w:hAnsi="仿宋" w:eastAsia="仿宋"/>
                <w:strike/>
                <w:dstrike w:val="0"/>
                <w:color w:val="000000"/>
                <w:kern w:val="0"/>
                <w:sz w:val="18"/>
                <w:lang w:val="en-US" w:eastAsia="zh-CN"/>
              </w:rPr>
              <w:t>市场化运作。共享自行车运营服务，遵循政府规范管理、企业市场化运作的原则，由运营企业自主投放车辆并提供服务，政府规范引导并完善慢行交通设施规划建设。</w:t>
            </w:r>
            <w:r>
              <w:rPr>
                <w:rFonts w:hint="eastAsia" w:ascii="微软雅黑" w:hAnsi="微软雅黑" w:eastAsia="微软雅黑"/>
                <w:b/>
                <w:color w:val="000000"/>
                <w:kern w:val="0"/>
                <w:sz w:val="18"/>
                <w:lang w:val="en-US" w:eastAsia="zh-CN"/>
              </w:rPr>
              <w:t>有序投放。我市共享自行车实行运营配额总量控制，招投标管理方式。由市交通运输部门会同市城管和综合执法部门、市公安交警部门根据我市共享自行车发展定位和市民交通出行需求，综合城市设施承载力和出行特征需求，实行车辆投放总量控制，保证投放有序。市交通运输部门应定期对全市共享自行车总量规模进行评估，并根据评估结果提出动态调整意见。</w:t>
            </w:r>
          </w:p>
          <w:p>
            <w:pPr>
              <w:widowControl w:val="0"/>
              <w:spacing w:line="240" w:lineRule="auto"/>
              <w:ind w:firstLine="360" w:firstLineChars="200"/>
              <w:jc w:val="both"/>
              <w:textAlignment w:val="center"/>
              <w:rPr>
                <w:rFonts w:ascii="仿宋_GB2312" w:eastAsia="仿宋_GB2312"/>
                <w:sz w:val="28"/>
                <w:szCs w:val="28"/>
              </w:rPr>
            </w:pPr>
            <w:r>
              <w:rPr>
                <w:rFonts w:hint="eastAsia" w:ascii="微软雅黑" w:hAnsi="微软雅黑" w:eastAsia="微软雅黑"/>
                <w:b/>
                <w:color w:val="000000"/>
                <w:kern w:val="0"/>
                <w:sz w:val="18"/>
                <w:lang w:val="en-US" w:eastAsia="zh-CN"/>
              </w:rPr>
              <w:t>石歧街道、东区街道、南区街道、西区街道、五桂山街道的运营配额投放计划及招投标工作，由市交通运输部门制定和组织实施。其余各镇街的运营配额投放计划由所在镇街政府制定并报市交通运输部门备案，经备案后由所在镇街政府组织实施招投标工作。</w:t>
            </w:r>
          </w:p>
        </w:tc>
        <w:tc>
          <w:tcPr>
            <w:tcW w:w="3769" w:type="dxa"/>
            <w:vAlign w:val="center"/>
          </w:tcPr>
          <w:p>
            <w:p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为避免出现共享自行车无序投放、过度投放的问题，本次《</w:t>
            </w:r>
            <w:r>
              <w:rPr>
                <w:rFonts w:hint="eastAsia" w:ascii="宋体" w:hAnsi="宋体" w:cs="宋体"/>
                <w:color w:val="000000"/>
                <w:kern w:val="0"/>
                <w:sz w:val="18"/>
                <w:szCs w:val="18"/>
                <w:lang w:val="zh-CN" w:eastAsia="zh-CN" w:bidi="ar"/>
              </w:rPr>
              <w:t>中山市人民政府办公室关于规范共享自行车管理服务的指导意见</w:t>
            </w:r>
            <w:r>
              <w:rPr>
                <w:rFonts w:hint="eastAsia" w:ascii="宋体" w:hAnsi="宋体" w:cs="宋体"/>
                <w:color w:val="000000"/>
                <w:kern w:val="0"/>
                <w:sz w:val="18"/>
                <w:szCs w:val="18"/>
                <w:lang w:val="en-US" w:eastAsia="zh-CN" w:bidi="ar"/>
              </w:rPr>
              <w:t>》（以下简称《指导意见》）修订明确了以下几点内容：</w:t>
            </w:r>
          </w:p>
          <w:p>
            <w:pPr>
              <w:spacing w:line="240" w:lineRule="auto"/>
              <w:ind w:firstLine="360" w:firstLineChars="200"/>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进一步明确了共享自行车投放市场的方式，由企业自主投放调整为政府招投标方式；</w:t>
            </w:r>
          </w:p>
          <w:p>
            <w:pPr>
              <w:spacing w:line="240" w:lineRule="auto"/>
              <w:ind w:firstLine="360" w:firstLineChars="200"/>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明确了</w:t>
            </w:r>
            <w:r>
              <w:rPr>
                <w:rFonts w:hint="eastAsia" w:ascii="宋体" w:hAnsi="宋体" w:cs="宋体"/>
                <w:color w:val="000000"/>
                <w:kern w:val="0"/>
                <w:sz w:val="18"/>
                <w:szCs w:val="18"/>
                <w:lang w:val="en-US" w:eastAsia="zh-CN" w:bidi="ar"/>
              </w:rPr>
              <w:t>中心城区</w:t>
            </w:r>
            <w:r>
              <w:rPr>
                <w:rFonts w:hint="eastAsia" w:ascii="宋体" w:hAnsi="宋体" w:eastAsia="宋体" w:cs="宋体"/>
                <w:color w:val="000000"/>
                <w:kern w:val="0"/>
                <w:sz w:val="18"/>
                <w:szCs w:val="18"/>
                <w:lang w:val="en-US" w:eastAsia="zh-CN" w:bidi="ar"/>
              </w:rPr>
              <w:t>招投标组织实施部门为市交通运输部门；其余各镇街负责各自辖区范围共享自行车招投标工作。</w:t>
            </w:r>
          </w:p>
          <w:p>
            <w:pPr>
              <w:spacing w:line="240" w:lineRule="auto"/>
              <w:ind w:firstLine="360" w:firstLineChars="200"/>
              <w:rPr>
                <w:rFonts w:hint="eastAsia" w:ascii="仿宋" w:hAnsi="仿宋" w:eastAsia="仿宋"/>
                <w:color w:val="000000"/>
                <w:kern w:val="0"/>
                <w:sz w:val="18"/>
                <w:lang w:eastAsia="zh-CN"/>
              </w:rPr>
            </w:pP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明确了我市共享自行车实行运营配额总量控制的模式，由市交通运输部门会同城管、交警部门对全市投放总量进行控制，并定期评估调整。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633" w:type="dxa"/>
            <w:vAlign w:val="center"/>
          </w:tcPr>
          <w:p>
            <w:pPr>
              <w:widowControl w:val="0"/>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2</w:t>
            </w:r>
          </w:p>
        </w:tc>
        <w:tc>
          <w:tcPr>
            <w:tcW w:w="850" w:type="dxa"/>
            <w:vAlign w:val="center"/>
          </w:tcPr>
          <w:p>
            <w:pPr>
              <w:widowControl w:val="0"/>
              <w:spacing w:line="240" w:lineRule="auto"/>
              <w:jc w:val="center"/>
              <w:rPr>
                <w:rFonts w:hint="eastAsia" w:ascii="仿宋_GB2312" w:eastAsia="仿宋_GB2312"/>
                <w:sz w:val="24"/>
                <w:lang w:eastAsia="zh-CN"/>
              </w:rPr>
            </w:pPr>
            <w:r>
              <w:rPr>
                <w:rFonts w:hint="eastAsia" w:ascii="黑体" w:hAnsi="黑体" w:eastAsia="黑体" w:cs="黑体"/>
                <w:sz w:val="24"/>
                <w:lang w:eastAsia="zh-CN"/>
              </w:rPr>
              <w:t>一</w:t>
            </w:r>
            <w:r>
              <w:rPr>
                <w:rFonts w:hint="eastAsia" w:ascii="仿宋_GB2312" w:eastAsia="仿宋_GB2312"/>
                <w:sz w:val="24"/>
                <w:lang w:eastAsia="zh-CN"/>
              </w:rPr>
              <w:t>（二）</w:t>
            </w:r>
          </w:p>
        </w:tc>
        <w:tc>
          <w:tcPr>
            <w:tcW w:w="3391"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rPr>
            </w:pPr>
            <w:r>
              <w:rPr>
                <w:rFonts w:hint="eastAsia" w:ascii="仿宋" w:hAnsi="仿宋" w:eastAsia="仿宋"/>
                <w:color w:val="000000"/>
                <w:kern w:val="0"/>
                <w:sz w:val="18"/>
                <w:lang w:val="en-US" w:eastAsia="zh-CN"/>
              </w:rPr>
              <w:t>二是安全有序。确保自行车车辆安全性能状况良好，建立健全骑行保险理赔机制，强化网络信息安全监管，加强用户押金风险管控。同时，发挥市场配置作用，强化车辆运行调度和停放秩序的企业主体责任；综合城市设施承载力和出行特征需求，实行车辆投放总量控制，并加强动态监测，保证投放有序。</w:t>
            </w:r>
          </w:p>
        </w:tc>
        <w:tc>
          <w:tcPr>
            <w:tcW w:w="4925"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rPr>
            </w:pPr>
            <w:r>
              <w:rPr>
                <w:rFonts w:hint="eastAsia" w:ascii="仿宋" w:hAnsi="仿宋" w:eastAsia="仿宋"/>
                <w:color w:val="000000"/>
                <w:kern w:val="0"/>
                <w:sz w:val="18"/>
                <w:lang w:val="en-US" w:eastAsia="zh-CN"/>
              </w:rPr>
              <w:t>二是安全</w:t>
            </w:r>
            <w:r>
              <w:rPr>
                <w:rFonts w:hint="eastAsia" w:ascii="仿宋" w:hAnsi="仿宋" w:eastAsia="仿宋"/>
                <w:strike/>
                <w:dstrike w:val="0"/>
                <w:color w:val="000000"/>
                <w:kern w:val="0"/>
                <w:sz w:val="18"/>
                <w:lang w:val="en-US" w:eastAsia="zh-CN"/>
              </w:rPr>
              <w:t>有序</w:t>
            </w:r>
            <w:r>
              <w:rPr>
                <w:rFonts w:hint="eastAsia" w:ascii="仿宋" w:hAnsi="仿宋" w:eastAsia="仿宋"/>
                <w:color w:val="000000"/>
                <w:kern w:val="0"/>
                <w:sz w:val="18"/>
                <w:lang w:val="en-US" w:eastAsia="zh-CN"/>
              </w:rPr>
              <w:t>强化。确保自行车车辆安全性能状况良好，建立健全骑行保险理赔机制，强化网络信息安全监管，加强用户押金风险管控。同时，发挥市场配置作用，强化</w:t>
            </w:r>
            <w:r>
              <w:rPr>
                <w:rFonts w:hint="eastAsia" w:ascii="仿宋" w:hAnsi="仿宋" w:eastAsia="仿宋"/>
                <w:strike/>
                <w:dstrike w:val="0"/>
                <w:color w:val="000000"/>
                <w:kern w:val="0"/>
                <w:sz w:val="18"/>
                <w:lang w:val="en-US" w:eastAsia="zh-CN"/>
              </w:rPr>
              <w:t>车辆</w:t>
            </w:r>
            <w:r>
              <w:rPr>
                <w:rFonts w:hint="eastAsia" w:ascii="微软雅黑" w:hAnsi="微软雅黑" w:eastAsia="微软雅黑"/>
                <w:b/>
                <w:color w:val="000000"/>
                <w:kern w:val="0"/>
                <w:sz w:val="18"/>
                <w:lang w:val="en-US" w:eastAsia="zh-CN"/>
              </w:rPr>
              <w:t>共享自行车经营者（以下简称“经营者”）在</w:t>
            </w:r>
            <w:r>
              <w:rPr>
                <w:rFonts w:hint="eastAsia" w:ascii="仿宋" w:hAnsi="仿宋" w:eastAsia="仿宋"/>
                <w:color w:val="000000"/>
                <w:kern w:val="0"/>
                <w:sz w:val="18"/>
                <w:lang w:val="en-US" w:eastAsia="zh-CN"/>
              </w:rPr>
              <w:t>车辆运行调度和停放秩序的企业主体责任。</w:t>
            </w:r>
            <w:r>
              <w:rPr>
                <w:rFonts w:hint="eastAsia" w:ascii="仿宋" w:hAnsi="仿宋" w:eastAsia="仿宋"/>
                <w:strike/>
                <w:dstrike w:val="0"/>
                <w:color w:val="000000"/>
                <w:kern w:val="0"/>
                <w:sz w:val="18"/>
                <w:u w:val="none"/>
                <w:lang w:val="en-US" w:eastAsia="zh-CN"/>
              </w:rPr>
              <w:t>综合城市设施承载力和出行特征需求，实行车辆投放总量控制，并加强动态监测，保证投放有序。</w:t>
            </w:r>
          </w:p>
        </w:tc>
        <w:tc>
          <w:tcPr>
            <w:tcW w:w="3769" w:type="dxa"/>
            <w:vAlign w:val="center"/>
          </w:tcPr>
          <w:p>
            <w:pPr>
              <w:spacing w:line="240" w:lineRule="auto"/>
              <w:ind w:firstLine="360" w:firstLineChars="200"/>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原文中共享自行车企业全部修改为共享自行车经营者（简称“经营者”）；</w:t>
            </w:r>
          </w:p>
          <w:p>
            <w:pPr>
              <w:spacing w:line="240" w:lineRule="auto"/>
              <w:ind w:firstLine="360" w:firstLineChars="200"/>
              <w:rPr>
                <w:rFonts w:hint="eastAsia" w:ascii="仿宋" w:hAnsi="仿宋" w:eastAsia="仿宋"/>
                <w:color w:val="000000"/>
                <w:kern w:val="0"/>
                <w:sz w:val="18"/>
                <w:lang w:val="en-US" w:eastAsia="zh-CN"/>
              </w:rPr>
            </w:pPr>
            <w:r>
              <w:rPr>
                <w:rFonts w:hint="eastAsia" w:ascii="宋体" w:hAnsi="宋体" w:eastAsia="宋体" w:cs="宋体"/>
                <w:color w:val="000000"/>
                <w:kern w:val="0"/>
                <w:sz w:val="18"/>
                <w:szCs w:val="18"/>
                <w:lang w:val="en-US" w:eastAsia="zh-CN" w:bidi="ar"/>
              </w:rPr>
              <w:t>2.原文中对投放车辆总量控制的描述调整至“有序投放”部分；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633" w:type="dxa"/>
            <w:vAlign w:val="center"/>
          </w:tcPr>
          <w:p>
            <w:pPr>
              <w:widowControl w:val="0"/>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850" w:type="dxa"/>
            <w:vAlign w:val="center"/>
          </w:tcPr>
          <w:p>
            <w:pPr>
              <w:widowControl w:val="0"/>
              <w:spacing w:line="240" w:lineRule="auto"/>
              <w:jc w:val="center"/>
              <w:rPr>
                <w:rFonts w:hint="eastAsia" w:ascii="仿宋_GB2312" w:eastAsia="仿宋_GB2312"/>
                <w:sz w:val="24"/>
                <w:lang w:eastAsia="zh-CN"/>
              </w:rPr>
            </w:pPr>
            <w:r>
              <w:rPr>
                <w:rFonts w:hint="eastAsia" w:ascii="黑体" w:hAnsi="黑体" w:eastAsia="黑体" w:cs="黑体"/>
                <w:sz w:val="24"/>
                <w:lang w:eastAsia="zh-CN"/>
              </w:rPr>
              <w:t>一</w:t>
            </w:r>
            <w:r>
              <w:rPr>
                <w:rFonts w:hint="eastAsia" w:ascii="仿宋_GB2312" w:eastAsia="仿宋_GB2312"/>
                <w:sz w:val="24"/>
                <w:lang w:eastAsia="zh-CN"/>
              </w:rPr>
              <w:t>（二）</w:t>
            </w:r>
          </w:p>
        </w:tc>
        <w:tc>
          <w:tcPr>
            <w:tcW w:w="3391" w:type="dxa"/>
            <w:vAlign w:val="center"/>
          </w:tcPr>
          <w:p>
            <w:pPr>
              <w:widowControl w:val="0"/>
              <w:spacing w:line="240" w:lineRule="auto"/>
              <w:ind w:firstLine="360" w:firstLineChars="200"/>
              <w:jc w:val="both"/>
              <w:textAlignment w:val="center"/>
              <w:rPr>
                <w:rFonts w:ascii="仿宋_GB2312" w:eastAsia="仿宋_GB2312"/>
                <w:sz w:val="28"/>
                <w:szCs w:val="28"/>
              </w:rPr>
            </w:pPr>
            <w:r>
              <w:rPr>
                <w:rFonts w:hint="eastAsia" w:ascii="仿宋" w:hAnsi="仿宋" w:eastAsia="仿宋"/>
                <w:color w:val="000000"/>
                <w:kern w:val="0"/>
                <w:sz w:val="18"/>
                <w:lang w:val="en-US" w:eastAsia="zh-CN"/>
              </w:rPr>
              <w:t>三是协同推动。发挥政府、社会、企业资源优势，强化政府统筹兼顾、企业规范服务作用，市属职能部门加强指导协调，各镇区强化属地管理。</w:t>
            </w:r>
          </w:p>
        </w:tc>
        <w:tc>
          <w:tcPr>
            <w:tcW w:w="4925" w:type="dxa"/>
            <w:vAlign w:val="center"/>
          </w:tcPr>
          <w:p>
            <w:pPr>
              <w:widowControl w:val="0"/>
              <w:spacing w:line="240" w:lineRule="auto"/>
              <w:ind w:firstLine="360" w:firstLineChars="200"/>
              <w:jc w:val="both"/>
              <w:textAlignment w:val="center"/>
              <w:rPr>
                <w:rFonts w:ascii="仿宋_GB2312" w:eastAsia="仿宋_GB2312"/>
                <w:sz w:val="28"/>
                <w:szCs w:val="28"/>
              </w:rPr>
            </w:pPr>
            <w:r>
              <w:rPr>
                <w:rFonts w:hint="eastAsia" w:ascii="仿宋" w:hAnsi="仿宋" w:eastAsia="仿宋"/>
                <w:color w:val="000000"/>
                <w:kern w:val="0"/>
                <w:sz w:val="18"/>
                <w:lang w:val="en-US" w:eastAsia="zh-CN"/>
              </w:rPr>
              <w:t>三是协同推动。发挥政府、社会、经营者资源优势，强化政府统筹兼顾、</w:t>
            </w:r>
            <w:r>
              <w:rPr>
                <w:rFonts w:hint="eastAsia" w:ascii="仿宋" w:hAnsi="仿宋" w:eastAsia="仿宋"/>
                <w:strike/>
                <w:dstrike w:val="0"/>
                <w:color w:val="000000"/>
                <w:kern w:val="0"/>
                <w:sz w:val="18"/>
                <w:lang w:val="en-US" w:eastAsia="zh-CN"/>
              </w:rPr>
              <w:t>企业</w:t>
            </w:r>
            <w:r>
              <w:rPr>
                <w:rFonts w:hint="eastAsia" w:ascii="微软雅黑" w:hAnsi="微软雅黑" w:eastAsia="微软雅黑"/>
                <w:b/>
                <w:color w:val="000000"/>
                <w:kern w:val="0"/>
                <w:sz w:val="18"/>
                <w:lang w:val="en-US" w:eastAsia="zh-CN"/>
              </w:rPr>
              <w:t>经营者</w:t>
            </w:r>
            <w:r>
              <w:rPr>
                <w:rFonts w:hint="eastAsia" w:ascii="仿宋" w:hAnsi="仿宋" w:eastAsia="仿宋"/>
                <w:color w:val="000000"/>
                <w:kern w:val="0"/>
                <w:sz w:val="18"/>
                <w:lang w:val="en-US" w:eastAsia="zh-CN"/>
              </w:rPr>
              <w:t>规范服务作用，</w:t>
            </w:r>
            <w:r>
              <w:rPr>
                <w:rFonts w:hint="eastAsia" w:ascii="仿宋" w:hAnsi="仿宋" w:eastAsia="仿宋"/>
                <w:strike/>
                <w:dstrike w:val="0"/>
                <w:color w:val="000000"/>
                <w:kern w:val="0"/>
                <w:sz w:val="18"/>
                <w:lang w:val="en-US" w:eastAsia="zh-CN"/>
              </w:rPr>
              <w:t>市属职能部门加强指导协调</w:t>
            </w:r>
            <w:r>
              <w:rPr>
                <w:rFonts w:hint="eastAsia" w:ascii="微软雅黑" w:hAnsi="微软雅黑" w:eastAsia="微软雅黑"/>
                <w:b/>
                <w:color w:val="000000"/>
                <w:kern w:val="0"/>
                <w:sz w:val="18"/>
                <w:lang w:val="en-US" w:eastAsia="zh-CN"/>
              </w:rPr>
              <w:t>市交通运输部门统筹指导</w:t>
            </w:r>
            <w:r>
              <w:rPr>
                <w:rFonts w:hint="eastAsia" w:ascii="仿宋" w:hAnsi="仿宋" w:eastAsia="仿宋"/>
                <w:color w:val="000000"/>
                <w:kern w:val="0"/>
                <w:sz w:val="18"/>
                <w:lang w:val="en-US" w:eastAsia="zh-CN"/>
              </w:rPr>
              <w:t>，</w:t>
            </w:r>
            <w:r>
              <w:rPr>
                <w:rFonts w:hint="eastAsia" w:ascii="微软雅黑" w:hAnsi="微软雅黑" w:eastAsia="微软雅黑"/>
                <w:b/>
                <w:color w:val="000000"/>
                <w:kern w:val="0"/>
                <w:sz w:val="18"/>
                <w:lang w:val="en-US" w:eastAsia="zh-CN"/>
              </w:rPr>
              <w:t>建立第三方监管平台，加强动态监测，</w:t>
            </w:r>
            <w:r>
              <w:rPr>
                <w:rFonts w:hint="eastAsia" w:ascii="仿宋" w:hAnsi="仿宋" w:eastAsia="仿宋"/>
                <w:color w:val="000000"/>
                <w:kern w:val="0"/>
                <w:sz w:val="18"/>
                <w:lang w:val="en-US" w:eastAsia="zh-CN"/>
              </w:rPr>
              <w:t>各镇街强化属地管理，</w:t>
            </w:r>
            <w:r>
              <w:rPr>
                <w:rFonts w:hint="eastAsia" w:ascii="微软雅黑" w:hAnsi="微软雅黑" w:eastAsia="微软雅黑"/>
                <w:b/>
                <w:color w:val="000000"/>
                <w:kern w:val="0"/>
                <w:sz w:val="18"/>
                <w:lang w:val="en-US" w:eastAsia="zh-CN"/>
              </w:rPr>
              <w:t>经营者严格落实主体责任。</w:t>
            </w:r>
          </w:p>
        </w:tc>
        <w:tc>
          <w:tcPr>
            <w:tcW w:w="3769"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宋体" w:hAnsi="宋体" w:eastAsia="宋体" w:cs="宋体"/>
                <w:color w:val="000000"/>
                <w:kern w:val="0"/>
                <w:sz w:val="18"/>
                <w:szCs w:val="18"/>
                <w:lang w:val="en-US" w:eastAsia="zh-CN" w:bidi="ar"/>
              </w:rPr>
              <w:t>3.为加强对共享自行车经营者的监督，增加了由市交通运输部门建立第三方监管平台，同时强调了企业要落实主体责任的内容。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30" w:hRule="atLeast"/>
          <w:jc w:val="center"/>
        </w:trPr>
        <w:tc>
          <w:tcPr>
            <w:tcW w:w="633" w:type="dxa"/>
            <w:vAlign w:val="center"/>
          </w:tcPr>
          <w:p>
            <w:pPr>
              <w:spacing w:line="240" w:lineRule="auto"/>
              <w:jc w:val="center"/>
              <w:rPr>
                <w:rFonts w:hint="eastAsia" w:ascii="仿宋_GB2312" w:eastAsia="仿宋_GB2312"/>
                <w:sz w:val="24"/>
                <w:lang w:eastAsia="zh-CN"/>
              </w:rPr>
            </w:pPr>
            <w:r>
              <w:rPr>
                <w:rFonts w:hint="eastAsia" w:ascii="仿宋_GB2312" w:eastAsia="仿宋_GB2312"/>
                <w:sz w:val="24"/>
                <w:lang w:val="en-US" w:eastAsia="zh-CN"/>
              </w:rPr>
              <w:t>4</w:t>
            </w:r>
          </w:p>
        </w:tc>
        <w:tc>
          <w:tcPr>
            <w:tcW w:w="850" w:type="dxa"/>
            <w:vAlign w:val="center"/>
          </w:tcPr>
          <w:p>
            <w:pPr>
              <w:spacing w:line="240" w:lineRule="auto"/>
              <w:jc w:val="center"/>
              <w:rPr>
                <w:rFonts w:hint="eastAsia" w:ascii="仿宋_GB2312" w:eastAsia="仿宋_GB2312"/>
                <w:sz w:val="24"/>
                <w:lang w:eastAsia="zh-CN"/>
              </w:rPr>
            </w:pPr>
            <w:r>
              <w:rPr>
                <w:rFonts w:hint="eastAsia" w:ascii="黑体" w:hAnsi="黑体" w:eastAsia="黑体" w:cs="黑体"/>
                <w:sz w:val="24"/>
                <w:lang w:eastAsia="zh-CN"/>
              </w:rPr>
              <w:t>二</w:t>
            </w:r>
            <w:r>
              <w:rPr>
                <w:rFonts w:hint="eastAsia" w:ascii="仿宋_GB2312" w:eastAsia="仿宋_GB2312"/>
                <w:sz w:val="24"/>
                <w:lang w:eastAsia="zh-CN"/>
              </w:rPr>
              <w:t>（三）</w:t>
            </w:r>
          </w:p>
        </w:tc>
        <w:tc>
          <w:tcPr>
            <w:tcW w:w="3391"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（三）设置车辆停放区。</w:t>
            </w:r>
          </w:p>
          <w:p>
            <w:pPr>
              <w:widowControl w:val="0"/>
              <w:spacing w:line="240" w:lineRule="auto"/>
              <w:ind w:firstLine="360" w:firstLineChars="200"/>
              <w:jc w:val="both"/>
              <w:textAlignment w:val="center"/>
              <w:rPr>
                <w:rFonts w:ascii="仿宋" w:hAnsi="仿宋" w:eastAsia="仿宋"/>
                <w:color w:val="000000"/>
                <w:kern w:val="0"/>
                <w:sz w:val="18"/>
              </w:rPr>
            </w:pPr>
            <w:r>
              <w:rPr>
                <w:rFonts w:hint="eastAsia" w:ascii="仿宋" w:hAnsi="仿宋" w:eastAsia="仿宋"/>
                <w:color w:val="000000"/>
                <w:kern w:val="0"/>
                <w:sz w:val="18"/>
                <w:lang w:val="en-US" w:eastAsia="zh-CN"/>
              </w:rPr>
              <w:t>按照“有效衔接、集中停放”原则，设置车辆停放区，划定车辆禁止停放区域，重点推进枢纽站点、大型商业与办公区、公园、医院、居住区等公共场所停放点设置和设施建设，规范共享自行车停放。</w:t>
            </w:r>
          </w:p>
        </w:tc>
        <w:tc>
          <w:tcPr>
            <w:tcW w:w="4925"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（三）设置车辆停放区。</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仿宋" w:hAnsi="仿宋" w:eastAsia="仿宋"/>
                <w:color w:val="000000"/>
                <w:kern w:val="0"/>
                <w:sz w:val="18"/>
                <w:lang w:val="en-US" w:eastAsia="zh-CN"/>
              </w:rPr>
              <w:t>按照“有效衔接、集中停放”原则，设置车辆停放区，划定车辆禁止停放区域，重点推进枢纽站点、大型商业与办公区、公园、医院、居住区等公共场所停放点设置和设施建设，规范共享自行车停放，</w:t>
            </w:r>
            <w:r>
              <w:rPr>
                <w:rFonts w:hint="eastAsia" w:ascii="微软雅黑" w:hAnsi="微软雅黑" w:eastAsia="微软雅黑"/>
                <w:b/>
                <w:color w:val="000000"/>
                <w:kern w:val="0"/>
                <w:sz w:val="18"/>
                <w:lang w:val="en-US" w:eastAsia="zh-CN"/>
              </w:rPr>
              <w:t>可充分利用原有公共自行车停放点设置停放区域。</w:t>
            </w:r>
          </w:p>
          <w:p>
            <w:pPr>
              <w:spacing w:line="240" w:lineRule="auto"/>
              <w:jc w:val="both"/>
              <w:rPr>
                <w:rFonts w:ascii="仿宋" w:hAnsi="仿宋" w:eastAsia="仿宋"/>
                <w:color w:val="000000"/>
                <w:kern w:val="0"/>
                <w:sz w:val="18"/>
              </w:rPr>
            </w:pPr>
          </w:p>
        </w:tc>
        <w:tc>
          <w:tcPr>
            <w:tcW w:w="3769" w:type="dxa"/>
            <w:vAlign w:val="center"/>
          </w:tcPr>
          <w:p>
            <w:pPr>
              <w:spacing w:line="240" w:lineRule="auto"/>
              <w:ind w:firstLine="360" w:firstLineChars="200"/>
              <w:rPr>
                <w:rFonts w:hint="eastAsia" w:ascii="仿宋" w:hAnsi="仿宋" w:eastAsia="仿宋"/>
                <w:kern w:val="0"/>
                <w:sz w:val="18"/>
                <w:lang w:val="en-US" w:eastAsia="zh-CN"/>
              </w:rPr>
            </w:pPr>
            <w:r>
              <w:rPr>
                <w:rFonts w:hint="eastAsia" w:ascii="宋体" w:hAnsi="宋体" w:eastAsia="宋体" w:cs="宋体"/>
                <w:color w:val="000000"/>
                <w:kern w:val="0"/>
                <w:sz w:val="18"/>
                <w:szCs w:val="18"/>
                <w:lang w:val="en-US" w:eastAsia="zh-CN" w:bidi="ar"/>
              </w:rPr>
              <w:t>我市公共自行车已于2022年3月暂停运营服务，为充分利用公共自行车原设施，增加了共享自行车停放“可充分利用原有公共自行车停放点设置停放区域”的内容。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30" w:hRule="atLeast"/>
          <w:jc w:val="center"/>
        </w:trPr>
        <w:tc>
          <w:tcPr>
            <w:tcW w:w="633" w:type="dxa"/>
            <w:vAlign w:val="center"/>
          </w:tcPr>
          <w:p>
            <w:pPr>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850" w:type="dxa"/>
            <w:vAlign w:val="center"/>
          </w:tcPr>
          <w:p>
            <w:pPr>
              <w:spacing w:line="240" w:lineRule="auto"/>
              <w:jc w:val="center"/>
              <w:rPr>
                <w:rFonts w:hint="eastAsia" w:ascii="仿宋_GB2312" w:eastAsia="仿宋_GB2312"/>
                <w:sz w:val="24"/>
                <w:lang w:eastAsia="zh-CN"/>
              </w:rPr>
            </w:pPr>
            <w:r>
              <w:rPr>
                <w:rFonts w:hint="eastAsia" w:ascii="黑体" w:hAnsi="黑体" w:eastAsia="黑体" w:cs="黑体"/>
                <w:sz w:val="24"/>
                <w:lang w:eastAsia="zh-CN"/>
              </w:rPr>
              <w:t>三</w:t>
            </w:r>
          </w:p>
        </w:tc>
        <w:tc>
          <w:tcPr>
            <w:tcW w:w="3391" w:type="dxa"/>
            <w:vAlign w:val="center"/>
          </w:tcPr>
          <w:p>
            <w:pPr>
              <w:widowControl w:val="0"/>
              <w:spacing w:line="240" w:lineRule="auto"/>
              <w:ind w:firstLine="360" w:firstLineChars="200"/>
              <w:jc w:val="both"/>
              <w:textAlignment w:val="center"/>
              <w:rPr>
                <w:rFonts w:ascii="仿宋_GB2312" w:eastAsia="仿宋_GB2312"/>
                <w:sz w:val="28"/>
                <w:szCs w:val="28"/>
              </w:rPr>
            </w:pPr>
            <w:r>
              <w:rPr>
                <w:rFonts w:hint="eastAsia" w:ascii="仿宋" w:hAnsi="仿宋" w:eastAsia="仿宋"/>
                <w:color w:val="000000"/>
                <w:kern w:val="0"/>
                <w:sz w:val="18"/>
                <w:lang w:val="en-US" w:eastAsia="zh-CN"/>
              </w:rPr>
              <w:t>三、企业规范服务</w:t>
            </w:r>
          </w:p>
        </w:tc>
        <w:tc>
          <w:tcPr>
            <w:tcW w:w="4925" w:type="dxa"/>
            <w:vAlign w:val="center"/>
          </w:tcPr>
          <w:p>
            <w:pPr>
              <w:spacing w:line="240" w:lineRule="auto"/>
              <w:jc w:val="both"/>
              <w:rPr>
                <w:rFonts w:ascii="仿宋" w:hAnsi="仿宋" w:eastAsia="仿宋"/>
                <w:color w:val="FF0000"/>
                <w:kern w:val="0"/>
                <w:sz w:val="18"/>
              </w:rPr>
            </w:pPr>
            <w:r>
              <w:rPr>
                <w:rFonts w:hint="eastAsia" w:ascii="仿宋" w:hAnsi="仿宋" w:eastAsia="仿宋"/>
                <w:color w:val="000000"/>
                <w:kern w:val="0"/>
                <w:sz w:val="18"/>
                <w:lang w:val="en-US" w:eastAsia="zh-CN"/>
              </w:rPr>
              <w:t>三、</w:t>
            </w:r>
            <w:r>
              <w:rPr>
                <w:rFonts w:hint="eastAsia" w:ascii="仿宋" w:hAnsi="仿宋" w:eastAsia="仿宋"/>
                <w:strike/>
                <w:dstrike w:val="0"/>
                <w:color w:val="000000"/>
                <w:kern w:val="0"/>
                <w:sz w:val="18"/>
                <w:lang w:val="en-US" w:eastAsia="zh-CN"/>
              </w:rPr>
              <w:t>企业规范服务</w:t>
            </w:r>
            <w:r>
              <w:rPr>
                <w:rFonts w:hint="eastAsia" w:ascii="微软雅黑" w:hAnsi="微软雅黑" w:eastAsia="微软雅黑"/>
                <w:b/>
                <w:color w:val="000000"/>
                <w:kern w:val="0"/>
                <w:sz w:val="18"/>
                <w:lang w:val="en-US" w:eastAsia="zh-CN"/>
              </w:rPr>
              <w:t>经营和车辆管理</w:t>
            </w:r>
          </w:p>
        </w:tc>
        <w:tc>
          <w:tcPr>
            <w:tcW w:w="3769" w:type="dxa"/>
            <w:vAlign w:val="center"/>
          </w:tcPr>
          <w:p>
            <w:pPr>
              <w:spacing w:line="240" w:lineRule="auto"/>
              <w:ind w:firstLine="360" w:firstLineChars="200"/>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原文第</w:t>
            </w:r>
            <w:r>
              <w:rPr>
                <w:rFonts w:hint="eastAsia" w:ascii="宋体" w:hAnsi="宋体" w:cs="宋体"/>
                <w:color w:val="000000"/>
                <w:kern w:val="0"/>
                <w:sz w:val="18"/>
                <w:szCs w:val="18"/>
                <w:lang w:val="en-US" w:eastAsia="zh-CN" w:bidi="ar"/>
              </w:rPr>
              <w:t>三点只含有企业规范服务的内容，修订后，增加了企业经营和车辆管理的内容，标题也相应进行修改。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4" w:hRule="atLeast"/>
          <w:jc w:val="center"/>
        </w:trPr>
        <w:tc>
          <w:tcPr>
            <w:tcW w:w="633" w:type="dxa"/>
            <w:vAlign w:val="center"/>
          </w:tcPr>
          <w:p>
            <w:pPr>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6</w:t>
            </w:r>
          </w:p>
        </w:tc>
        <w:tc>
          <w:tcPr>
            <w:tcW w:w="850" w:type="dxa"/>
            <w:vAlign w:val="center"/>
          </w:tcPr>
          <w:p>
            <w:pPr>
              <w:spacing w:line="240" w:lineRule="auto"/>
              <w:jc w:val="center"/>
              <w:rPr>
                <w:rFonts w:ascii="仿宋_GB2312" w:eastAsia="仿宋_GB2312"/>
                <w:sz w:val="24"/>
              </w:rPr>
            </w:pPr>
            <w:r>
              <w:rPr>
                <w:rFonts w:hint="eastAsia" w:ascii="黑体" w:hAnsi="黑体" w:eastAsia="黑体" w:cs="黑体"/>
                <w:sz w:val="24"/>
                <w:lang w:eastAsia="zh-CN"/>
              </w:rPr>
              <w:t>三</w:t>
            </w:r>
            <w:r>
              <w:rPr>
                <w:rFonts w:hint="eastAsia" w:ascii="仿宋_GB2312" w:eastAsia="仿宋_GB2312"/>
                <w:sz w:val="24"/>
                <w:lang w:eastAsia="zh-CN"/>
              </w:rPr>
              <w:t>（一）</w:t>
            </w:r>
          </w:p>
        </w:tc>
        <w:tc>
          <w:tcPr>
            <w:tcW w:w="3391"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（一）规范经营条件。</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企业应当在本市行政区域内设立具有独立法人资格的企业或持有营业执照的企业法人分支机构。企业在开始提供租赁服务前30日内，将相关数据接入本市监管平台，并向市交通运输行政主管部门提供以下材料：</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1．企业法人营业执照原件及复印件；设立分支机构的，还应提交在本市注册登记的分支机构的营业执照原件及复印件；</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2．在本市行政区域内具有固定办公场地的证明文件原件及复印件；</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3．运营模式说明，服务管理、安全管理、服务质量及投诉管理、信息安全及用户隐私保护等制度文本；</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4．符合规定的运营维护、管理人员相关证明材料；</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5．与银行或具有第三方支付资质的非银行机构签订的资金支付协议；</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6．法律、法规、规章要求提供的其他材料。</w:t>
            </w:r>
          </w:p>
          <w:p>
            <w:pPr>
              <w:widowControl w:val="0"/>
              <w:spacing w:line="240" w:lineRule="auto"/>
              <w:ind w:firstLine="360" w:firstLineChars="200"/>
              <w:jc w:val="both"/>
              <w:textAlignment w:val="center"/>
              <w:rPr>
                <w:rFonts w:ascii="仿宋" w:hAnsi="仿宋" w:eastAsia="仿宋"/>
                <w:kern w:val="0"/>
                <w:sz w:val="18"/>
              </w:rPr>
            </w:pPr>
            <w:r>
              <w:rPr>
                <w:rFonts w:hint="eastAsia" w:ascii="仿宋" w:hAnsi="仿宋" w:eastAsia="仿宋"/>
                <w:color w:val="000000"/>
                <w:kern w:val="0"/>
                <w:sz w:val="18"/>
                <w:lang w:val="en-US" w:eastAsia="zh-CN"/>
              </w:rPr>
              <w:t>已在本市提供共享自行车经营服务的企业，应于本意见实施之日起30日内将完整数据接入监管平台，并提供上述材料。企业退出运营前要向社会公示，及时退还用户押金及预存金，完成所有车辆回收等工作。</w:t>
            </w:r>
          </w:p>
        </w:tc>
        <w:tc>
          <w:tcPr>
            <w:tcW w:w="4925"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（一）</w:t>
            </w:r>
            <w:r>
              <w:rPr>
                <w:rFonts w:hint="eastAsia" w:ascii="仿宋" w:hAnsi="仿宋" w:eastAsia="仿宋"/>
                <w:strike/>
                <w:dstrike w:val="0"/>
                <w:color w:val="000000"/>
                <w:kern w:val="0"/>
                <w:sz w:val="18"/>
                <w:lang w:val="en-US" w:eastAsia="zh-CN"/>
              </w:rPr>
              <w:t>规范</w:t>
            </w:r>
            <w:r>
              <w:rPr>
                <w:rFonts w:hint="eastAsia" w:ascii="仿宋" w:hAnsi="仿宋" w:eastAsia="仿宋"/>
                <w:color w:val="000000"/>
                <w:kern w:val="0"/>
                <w:sz w:val="18"/>
                <w:lang w:val="en-US" w:eastAsia="zh-CN"/>
              </w:rPr>
              <w:t>经营条件。</w:t>
            </w:r>
          </w:p>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仿宋" w:hAnsi="仿宋" w:eastAsia="仿宋"/>
                <w:strike/>
                <w:dstrike w:val="0"/>
                <w:color w:val="000000"/>
                <w:kern w:val="0"/>
                <w:sz w:val="18"/>
                <w:lang w:val="en-US" w:eastAsia="zh-CN"/>
              </w:rPr>
              <w:t>企业应当在本市行政区域内设立具有独立法人资格的企业或持有营业执照的企业法人分支机构。企业在开始提供租赁服务前30日内，将相关数据接入本市监管平台，并向市交通运输行政主管部门提供以下材料：</w:t>
            </w:r>
          </w:p>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仿宋" w:hAnsi="仿宋" w:eastAsia="仿宋"/>
                <w:strike/>
                <w:dstrike w:val="0"/>
                <w:color w:val="000000"/>
                <w:kern w:val="0"/>
                <w:sz w:val="18"/>
                <w:lang w:val="en-US" w:eastAsia="zh-CN"/>
              </w:rPr>
              <w:t>1．企业法人营业执照原件及复印件；设立分支机构的，还应提交在本市注册登记的分支机构的营业执照原件及复印件；</w:t>
            </w:r>
          </w:p>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仿宋" w:hAnsi="仿宋" w:eastAsia="仿宋"/>
                <w:strike/>
                <w:dstrike w:val="0"/>
                <w:color w:val="000000"/>
                <w:kern w:val="0"/>
                <w:sz w:val="18"/>
                <w:lang w:val="en-US" w:eastAsia="zh-CN"/>
              </w:rPr>
              <w:t>2．在本市行政区域内具有固定办公场地的证明文件原件及复印件；</w:t>
            </w:r>
          </w:p>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仿宋" w:hAnsi="仿宋" w:eastAsia="仿宋"/>
                <w:strike/>
                <w:dstrike w:val="0"/>
                <w:color w:val="000000"/>
                <w:kern w:val="0"/>
                <w:sz w:val="18"/>
                <w:lang w:val="en-US" w:eastAsia="zh-CN"/>
              </w:rPr>
              <w:t>3．运营模式说明，服务管理、安全管理、服务质量及投诉管理、信息安全及用户隐私保护等制度文本；</w:t>
            </w:r>
          </w:p>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仿宋" w:hAnsi="仿宋" w:eastAsia="仿宋"/>
                <w:strike/>
                <w:dstrike w:val="0"/>
                <w:color w:val="000000"/>
                <w:kern w:val="0"/>
                <w:sz w:val="18"/>
                <w:lang w:val="en-US" w:eastAsia="zh-CN"/>
              </w:rPr>
              <w:t>4．符合规定的运营维护、管理人员相关证明材料；</w:t>
            </w:r>
          </w:p>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仿宋" w:hAnsi="仿宋" w:eastAsia="仿宋"/>
                <w:strike/>
                <w:dstrike w:val="0"/>
                <w:color w:val="000000"/>
                <w:kern w:val="0"/>
                <w:sz w:val="18"/>
                <w:lang w:val="en-US" w:eastAsia="zh-CN"/>
              </w:rPr>
              <w:t>5．与银行或具有第三方支付资质的非银行机构签订的资金支付协议；</w:t>
            </w:r>
          </w:p>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仿宋" w:hAnsi="仿宋" w:eastAsia="仿宋"/>
                <w:strike/>
                <w:dstrike w:val="0"/>
                <w:color w:val="000000"/>
                <w:kern w:val="0"/>
                <w:sz w:val="18"/>
                <w:lang w:val="en-US" w:eastAsia="zh-CN"/>
              </w:rPr>
              <w:t>6．法律、法规、规章要求提供的其他材料。</w:t>
            </w:r>
          </w:p>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仿宋" w:hAnsi="仿宋" w:eastAsia="仿宋"/>
                <w:strike/>
                <w:dstrike w:val="0"/>
                <w:color w:val="000000"/>
                <w:kern w:val="0"/>
                <w:sz w:val="18"/>
                <w:lang w:val="en-US" w:eastAsia="zh-CN"/>
              </w:rPr>
              <w:t>已在本市提供共享自行车经营服务的企业，应于本意见实施之日起30日内将完整数据接入监管平台，并提供上述材料。企业退出运营前要向社会公示，及时退还用户押金及预存金，完成所有车辆回收等工作。</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经营者参与我市共享自行车招投标，应符合以下条件：</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1.具有独立法人资格，未列入经营异常企业名录，且近3年内无重大违法记录；</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2.具备线上线下服务管理能力，有完善的经营管理制度，包括运营服务质量管理、从业人员管理、车辆维修保养、安全生产管理、投诉管理、信息安全保护、应急管理等；</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3.收取押金、预付金，且采用专用存款账户存管方式的，应当具有金融机构出具的押金、预付金专用账户证明材料；</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微软雅黑" w:hAnsi="微软雅黑" w:eastAsia="微软雅黑"/>
                <w:b/>
                <w:color w:val="000000"/>
                <w:kern w:val="0"/>
                <w:sz w:val="18"/>
                <w:lang w:val="en-US" w:eastAsia="zh-CN"/>
              </w:rPr>
              <w:t>4.法律、法规、规章等规定的其他条件。</w:t>
            </w:r>
          </w:p>
        </w:tc>
        <w:tc>
          <w:tcPr>
            <w:tcW w:w="3769" w:type="dxa"/>
            <w:vAlign w:val="center"/>
          </w:tcPr>
          <w:p>
            <w:pPr>
              <w:spacing w:line="240" w:lineRule="auto"/>
              <w:ind w:firstLine="360" w:firstLineChars="200"/>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本次修订改变了企业准入方式，由企业自主报备改为政府招投标方式，删除了企业报备部分相应内容，同时增加了企业参与招投标的条件。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50" w:hRule="atLeast"/>
          <w:jc w:val="center"/>
        </w:trPr>
        <w:tc>
          <w:tcPr>
            <w:tcW w:w="633" w:type="dxa"/>
            <w:vAlign w:val="center"/>
          </w:tcPr>
          <w:p>
            <w:pPr>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7</w:t>
            </w:r>
          </w:p>
        </w:tc>
        <w:tc>
          <w:tcPr>
            <w:tcW w:w="850" w:type="dxa"/>
            <w:vAlign w:val="center"/>
          </w:tcPr>
          <w:p>
            <w:pPr>
              <w:spacing w:line="240" w:lineRule="auto"/>
              <w:jc w:val="center"/>
              <w:rPr>
                <w:rFonts w:ascii="仿宋_GB2312" w:eastAsia="仿宋_GB2312"/>
                <w:sz w:val="24"/>
              </w:rPr>
            </w:pPr>
            <w:r>
              <w:rPr>
                <w:rFonts w:hint="eastAsia" w:ascii="黑体" w:hAnsi="黑体" w:eastAsia="黑体" w:cs="黑体"/>
                <w:sz w:val="24"/>
                <w:lang w:eastAsia="zh-CN"/>
              </w:rPr>
              <w:t>三</w:t>
            </w:r>
            <w:r>
              <w:rPr>
                <w:rFonts w:hint="eastAsia" w:ascii="仿宋_GB2312" w:eastAsia="仿宋_GB2312"/>
                <w:sz w:val="24"/>
                <w:lang w:eastAsia="zh-CN"/>
              </w:rPr>
              <w:t>（二）</w:t>
            </w:r>
          </w:p>
        </w:tc>
        <w:tc>
          <w:tcPr>
            <w:tcW w:w="3391"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（二）规范服务。</w:t>
            </w:r>
          </w:p>
          <w:p>
            <w:pPr>
              <w:widowControl w:val="0"/>
              <w:spacing w:line="240" w:lineRule="auto"/>
              <w:ind w:firstLine="360" w:firstLineChars="200"/>
              <w:jc w:val="both"/>
              <w:textAlignment w:val="center"/>
              <w:rPr>
                <w:rFonts w:ascii="仿宋_GB2312" w:eastAsia="仿宋_GB2312"/>
                <w:sz w:val="28"/>
                <w:szCs w:val="28"/>
              </w:rPr>
            </w:pPr>
            <w:r>
              <w:rPr>
                <w:rFonts w:hint="eastAsia" w:ascii="仿宋" w:hAnsi="仿宋" w:eastAsia="仿宋"/>
                <w:color w:val="000000"/>
                <w:kern w:val="0"/>
                <w:sz w:val="18"/>
                <w:lang w:val="en-US" w:eastAsia="zh-CN"/>
              </w:rPr>
              <w:t>企业应当与用户签订服务协议，明确双方权利义务，明确用户骑行、停放等方面的要求，并按照国家相关规定，公开计费方式和收费标准，依法依规经营，主动接受交通及相关行政管理部门的监督管理，不得妨碍市场公平竞争，不得侵害用户合法权益和公共利益；自觉遵守社会公德，诚实守信，接受社会组织、社会舆论和人民群众的监督，主动承担社会责任。</w:t>
            </w:r>
          </w:p>
        </w:tc>
        <w:tc>
          <w:tcPr>
            <w:tcW w:w="4925" w:type="dxa"/>
            <w:vAlign w:val="center"/>
          </w:tcPr>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仿宋" w:hAnsi="仿宋" w:eastAsia="仿宋"/>
                <w:strike/>
                <w:dstrike w:val="0"/>
                <w:color w:val="000000"/>
                <w:kern w:val="0"/>
                <w:sz w:val="18"/>
                <w:lang w:val="en-US" w:eastAsia="zh-CN"/>
              </w:rPr>
              <w:t>（二）规范服务。</w:t>
            </w:r>
          </w:p>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仿宋" w:hAnsi="仿宋" w:eastAsia="仿宋"/>
                <w:strike/>
                <w:dstrike w:val="0"/>
                <w:color w:val="000000"/>
                <w:kern w:val="0"/>
                <w:sz w:val="18"/>
                <w:lang w:val="en-US" w:eastAsia="zh-CN"/>
              </w:rPr>
              <w:t>企业应当与用户签订服务协议，明确双方权利义务，明确用户骑行、停放等方面的要求，并按照国家相关规定，公开计费方式和收费标准，依法依规经营，主动接受交通及相关行政管理部门的监督管理，不得妨碍市场公平竞争，不得侵害用户合法权益和公共利益；自觉遵守社会公德，诚实守信，接受社会组织、社会舆论和人民群众的监督，主动承担社会责任。</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（二）车辆条件</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经营者拟投放的共享自行车应符合以下条件：</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1.具有产品合格证明；</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2.配备符合相关技术要求的定位装置；</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3.具有唯一的身份编码；</w:t>
            </w:r>
          </w:p>
          <w:p>
            <w:pPr>
              <w:widowControl w:val="0"/>
              <w:spacing w:line="240" w:lineRule="auto"/>
              <w:ind w:firstLine="360" w:firstLineChars="200"/>
              <w:jc w:val="both"/>
              <w:textAlignment w:val="center"/>
              <w:rPr>
                <w:rFonts w:hint="eastAsia" w:ascii="仿宋" w:hAnsi="仿宋" w:eastAsia="仿宋"/>
                <w:strike/>
                <w:dstrike w:val="0"/>
                <w:color w:val="000000"/>
                <w:kern w:val="0"/>
                <w:sz w:val="18"/>
                <w:lang w:val="en-US" w:eastAsia="zh-CN"/>
              </w:rPr>
            </w:pPr>
            <w:r>
              <w:rPr>
                <w:rFonts w:hint="eastAsia" w:ascii="微软雅黑" w:hAnsi="微软雅黑" w:eastAsia="微软雅黑"/>
                <w:b/>
                <w:color w:val="000000"/>
                <w:kern w:val="0"/>
                <w:sz w:val="18"/>
                <w:lang w:val="en-US" w:eastAsia="zh-CN"/>
              </w:rPr>
              <w:t>4.无影响安全骑行的附属设备。</w:t>
            </w:r>
          </w:p>
        </w:tc>
        <w:tc>
          <w:tcPr>
            <w:tcW w:w="3769" w:type="dxa"/>
            <w:vAlign w:val="center"/>
          </w:tcPr>
          <w:p>
            <w:pPr>
              <w:spacing w:line="240" w:lineRule="auto"/>
              <w:ind w:firstLine="360" w:firstLineChars="200"/>
              <w:rPr>
                <w:rFonts w:hint="eastAsia" w:ascii="宋体" w:hAnsi="宋体" w:cs="宋体"/>
                <w:color w:val="000000"/>
                <w:kern w:val="0"/>
                <w:sz w:val="18"/>
                <w:szCs w:val="18"/>
                <w:lang w:val="en-US" w:eastAsia="zh-CN" w:bidi="ar"/>
              </w:rPr>
            </w:pPr>
          </w:p>
          <w:p>
            <w:pPr>
              <w:spacing w:line="240" w:lineRule="auto"/>
              <w:ind w:firstLine="360" w:firstLineChars="200"/>
              <w:rPr>
                <w:rFonts w:hint="eastAsia" w:ascii="宋体" w:hAnsi="宋体" w:cs="宋体"/>
                <w:color w:val="000000"/>
                <w:kern w:val="0"/>
                <w:sz w:val="18"/>
                <w:szCs w:val="18"/>
                <w:lang w:val="en-US" w:eastAsia="zh-CN" w:bidi="ar"/>
              </w:rPr>
            </w:pPr>
          </w:p>
          <w:p>
            <w:pPr>
              <w:spacing w:line="240" w:lineRule="auto"/>
              <w:ind w:firstLine="360" w:firstLineChars="200"/>
              <w:rPr>
                <w:rFonts w:hint="eastAsia" w:ascii="宋体" w:hAnsi="宋体" w:cs="宋体"/>
                <w:color w:val="000000"/>
                <w:kern w:val="0"/>
                <w:sz w:val="18"/>
                <w:szCs w:val="18"/>
                <w:lang w:val="en-US" w:eastAsia="zh-CN" w:bidi="ar"/>
              </w:rPr>
            </w:pPr>
          </w:p>
          <w:p>
            <w:pPr>
              <w:spacing w:line="240" w:lineRule="auto"/>
              <w:ind w:firstLine="360" w:firstLineChars="200"/>
              <w:rPr>
                <w:rFonts w:hint="eastAsia" w:ascii="宋体" w:hAnsi="宋体" w:cs="宋体"/>
                <w:color w:val="000000"/>
                <w:kern w:val="0"/>
                <w:sz w:val="18"/>
                <w:szCs w:val="18"/>
                <w:lang w:val="en-US" w:eastAsia="zh-CN" w:bidi="ar"/>
              </w:rPr>
            </w:pPr>
          </w:p>
          <w:p>
            <w:pPr>
              <w:spacing w:line="240" w:lineRule="auto"/>
              <w:ind w:firstLine="360" w:firstLineChars="200"/>
              <w:rPr>
                <w:rFonts w:hint="eastAsia" w:ascii="宋体" w:hAnsi="宋体" w:cs="宋体"/>
                <w:color w:val="000000"/>
                <w:kern w:val="0"/>
                <w:sz w:val="18"/>
                <w:szCs w:val="18"/>
                <w:lang w:val="en-US" w:eastAsia="zh-CN" w:bidi="ar"/>
              </w:rPr>
            </w:pPr>
          </w:p>
          <w:p>
            <w:pPr>
              <w:spacing w:line="240" w:lineRule="auto"/>
              <w:ind w:firstLine="360" w:firstLineChars="200"/>
              <w:rPr>
                <w:rFonts w:hint="eastAsia" w:ascii="宋体" w:hAnsi="宋体" w:cs="宋体"/>
                <w:color w:val="000000"/>
                <w:kern w:val="0"/>
                <w:sz w:val="18"/>
                <w:szCs w:val="18"/>
                <w:lang w:val="en-US" w:eastAsia="zh-CN" w:bidi="ar"/>
              </w:rPr>
            </w:pPr>
          </w:p>
          <w:p>
            <w:pPr>
              <w:spacing w:line="240" w:lineRule="auto"/>
              <w:ind w:firstLine="360" w:firstLineChars="200"/>
              <w:rPr>
                <w:rFonts w:hint="eastAsia" w:ascii="宋体" w:hAnsi="宋体" w:cs="宋体"/>
                <w:color w:val="000000"/>
                <w:kern w:val="0"/>
                <w:sz w:val="18"/>
                <w:szCs w:val="18"/>
                <w:lang w:val="en-US" w:eastAsia="zh-CN" w:bidi="ar"/>
              </w:rPr>
            </w:pPr>
          </w:p>
          <w:p>
            <w:pPr>
              <w:spacing w:line="240" w:lineRule="auto"/>
              <w:ind w:firstLine="360" w:firstLineChars="200"/>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第三点主要是经营和车辆的内容，删除了原文规范服务内容，明确了车辆准入条件。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68" w:hRule="atLeast"/>
          <w:jc w:val="center"/>
        </w:trPr>
        <w:tc>
          <w:tcPr>
            <w:tcW w:w="633" w:type="dxa"/>
            <w:vAlign w:val="center"/>
          </w:tcPr>
          <w:p>
            <w:pPr>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8</w:t>
            </w:r>
          </w:p>
        </w:tc>
        <w:tc>
          <w:tcPr>
            <w:tcW w:w="850" w:type="dxa"/>
            <w:vAlign w:val="center"/>
          </w:tcPr>
          <w:p>
            <w:pPr>
              <w:spacing w:line="240" w:lineRule="auto"/>
              <w:jc w:val="center"/>
              <w:rPr>
                <w:rFonts w:ascii="仿宋_GB2312" w:eastAsia="仿宋_GB2312"/>
                <w:sz w:val="24"/>
              </w:rPr>
            </w:pPr>
            <w:r>
              <w:rPr>
                <w:rFonts w:hint="eastAsia" w:ascii="黑体" w:hAnsi="黑体" w:eastAsia="黑体" w:cs="黑体"/>
                <w:sz w:val="24"/>
                <w:lang w:eastAsia="zh-CN"/>
              </w:rPr>
              <w:t>三</w:t>
            </w:r>
            <w:r>
              <w:rPr>
                <w:rFonts w:hint="eastAsia" w:ascii="仿宋_GB2312" w:eastAsia="仿宋_GB2312"/>
                <w:sz w:val="24"/>
                <w:lang w:eastAsia="zh-CN"/>
              </w:rPr>
              <w:t>（三）</w:t>
            </w:r>
          </w:p>
        </w:tc>
        <w:tc>
          <w:tcPr>
            <w:tcW w:w="3391"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（三）有序投放车辆。</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企业在新增投放车辆前，应编制合理的投放计划和运维方案，配备与所投放车辆相匹配的运维管理人员和停车场地，满足车辆调度、周转和维修需求，并向投放所在镇区的主管部门提供以下材料：</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1．投放计划（包括投放自行车车辆数、重点投放区域）；</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2．运维方案（包括运营维护、管理人员数量、车辆周转、停放场地相关证明材料）；</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3．运营模式说明，服务管理、安全管理、服务质量及投诉管理、信息安全及用户隐私保护等制度文本；</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4．与银行或具有第三方支付资质的非银行机构签订的资金支付协议；</w:t>
            </w:r>
          </w:p>
          <w:p>
            <w:pPr>
              <w:widowControl w:val="0"/>
              <w:spacing w:line="240" w:lineRule="auto"/>
              <w:ind w:firstLine="360" w:firstLineChars="200"/>
              <w:jc w:val="both"/>
              <w:textAlignment w:val="center"/>
              <w:rPr>
                <w:rFonts w:ascii="仿宋_GB2312" w:eastAsia="仿宋_GB2312"/>
                <w:sz w:val="28"/>
                <w:szCs w:val="28"/>
              </w:rPr>
            </w:pPr>
            <w:r>
              <w:rPr>
                <w:rFonts w:hint="eastAsia" w:ascii="仿宋" w:hAnsi="仿宋" w:eastAsia="仿宋"/>
                <w:color w:val="000000"/>
                <w:kern w:val="0"/>
                <w:sz w:val="18"/>
                <w:lang w:val="en-US" w:eastAsia="zh-CN"/>
              </w:rPr>
              <w:t>5．法律、法规、规章要求提供的其他材料。</w:t>
            </w:r>
          </w:p>
        </w:tc>
        <w:tc>
          <w:tcPr>
            <w:tcW w:w="4925"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（三）</w:t>
            </w:r>
            <w:r>
              <w:rPr>
                <w:rFonts w:hint="eastAsia" w:ascii="仿宋" w:hAnsi="仿宋" w:eastAsia="仿宋"/>
                <w:strike/>
                <w:dstrike w:val="0"/>
                <w:color w:val="000000"/>
                <w:kern w:val="0"/>
                <w:sz w:val="18"/>
                <w:lang w:val="en-US" w:eastAsia="zh-CN"/>
              </w:rPr>
              <w:t>有序投放车辆</w:t>
            </w:r>
            <w:r>
              <w:rPr>
                <w:rFonts w:hint="eastAsia" w:ascii="微软雅黑" w:hAnsi="微软雅黑" w:eastAsia="微软雅黑"/>
                <w:b/>
                <w:color w:val="000000"/>
                <w:kern w:val="0"/>
                <w:sz w:val="18"/>
                <w:lang w:val="en-US" w:eastAsia="zh-CN"/>
              </w:rPr>
              <w:t>车辆投放</w:t>
            </w:r>
            <w:r>
              <w:rPr>
                <w:rFonts w:hint="eastAsia" w:ascii="仿宋" w:hAnsi="仿宋" w:eastAsia="仿宋"/>
                <w:color w:val="000000"/>
                <w:kern w:val="0"/>
                <w:sz w:val="18"/>
                <w:lang w:val="en-US" w:eastAsia="zh-CN"/>
              </w:rPr>
              <w:t>。</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strike/>
                <w:dstrike w:val="0"/>
                <w:color w:val="000000"/>
                <w:kern w:val="0"/>
                <w:sz w:val="18"/>
                <w:lang w:val="en-US" w:eastAsia="zh-CN"/>
              </w:rPr>
              <w:t>企业</w:t>
            </w:r>
            <w:r>
              <w:rPr>
                <w:rFonts w:hint="eastAsia" w:ascii="微软雅黑" w:hAnsi="微软雅黑" w:eastAsia="微软雅黑"/>
                <w:b/>
                <w:color w:val="000000"/>
                <w:kern w:val="0"/>
                <w:sz w:val="18"/>
                <w:lang w:val="en-US" w:eastAsia="zh-CN"/>
              </w:rPr>
              <w:t>经营者在获得车辆投放配额之日起3个月内完成车辆投放，逾期未投放的配额，由招标单位收回。</w:t>
            </w:r>
            <w:r>
              <w:rPr>
                <w:rFonts w:hint="eastAsia" w:ascii="仿宋" w:hAnsi="仿宋" w:eastAsia="仿宋"/>
                <w:color w:val="000000"/>
                <w:kern w:val="0"/>
                <w:sz w:val="18"/>
                <w:lang w:val="en-US" w:eastAsia="zh-CN"/>
              </w:rPr>
              <w:t>新增投放车辆前，</w:t>
            </w:r>
            <w:r>
              <w:rPr>
                <w:rFonts w:hint="eastAsia" w:ascii="微软雅黑" w:hAnsi="微软雅黑" w:eastAsia="微软雅黑"/>
                <w:b/>
                <w:color w:val="000000"/>
                <w:kern w:val="0"/>
                <w:sz w:val="18"/>
                <w:lang w:val="en-US" w:eastAsia="zh-CN"/>
              </w:rPr>
              <w:t>一是要按照一车一码的要求，将车辆编码向市交通运输部门备案，相关车辆信息接入第三方监管平台；二是</w:t>
            </w:r>
            <w:r>
              <w:rPr>
                <w:rFonts w:hint="eastAsia" w:ascii="仿宋" w:hAnsi="仿宋" w:eastAsia="仿宋"/>
                <w:color w:val="000000"/>
                <w:kern w:val="0"/>
                <w:sz w:val="18"/>
                <w:lang w:val="en-US" w:eastAsia="zh-CN"/>
              </w:rPr>
              <w:t>应编制合理的投放计划和运维方案，配备与所投放车辆相匹配的运维管理人员和停车场地，满足车辆调度、周转和维修需求，并向投放地所在镇</w:t>
            </w:r>
            <w:r>
              <w:rPr>
                <w:rFonts w:hint="eastAsia" w:ascii="仿宋" w:hAnsi="仿宋" w:eastAsia="仿宋"/>
                <w:strike/>
                <w:dstrike w:val="0"/>
                <w:color w:val="000000"/>
                <w:kern w:val="0"/>
                <w:sz w:val="18"/>
                <w:lang w:val="en-US" w:eastAsia="zh-CN"/>
              </w:rPr>
              <w:t>区</w:t>
            </w:r>
            <w:r>
              <w:rPr>
                <w:rFonts w:hint="eastAsia" w:ascii="微软雅黑" w:hAnsi="微软雅黑" w:eastAsia="微软雅黑"/>
                <w:b/>
                <w:color w:val="000000"/>
                <w:kern w:val="0"/>
                <w:sz w:val="18"/>
                <w:lang w:val="en-US" w:eastAsia="zh-CN"/>
              </w:rPr>
              <w:t>街</w:t>
            </w:r>
            <w:r>
              <w:rPr>
                <w:rFonts w:hint="eastAsia" w:ascii="仿宋" w:hAnsi="仿宋" w:eastAsia="仿宋"/>
                <w:color w:val="000000"/>
                <w:kern w:val="0"/>
                <w:sz w:val="18"/>
                <w:lang w:val="en-US" w:eastAsia="zh-CN"/>
              </w:rPr>
              <w:t>的</w:t>
            </w:r>
            <w:r>
              <w:rPr>
                <w:rFonts w:hint="eastAsia" w:ascii="微软雅黑" w:hAnsi="微软雅黑" w:eastAsia="微软雅黑"/>
                <w:b/>
                <w:color w:val="000000"/>
                <w:kern w:val="0"/>
                <w:sz w:val="18"/>
                <w:lang w:val="en-US" w:eastAsia="zh-CN"/>
              </w:rPr>
              <w:t>相关</w:t>
            </w:r>
            <w:r>
              <w:rPr>
                <w:rFonts w:hint="eastAsia" w:ascii="仿宋" w:hAnsi="仿宋" w:eastAsia="仿宋"/>
                <w:color w:val="000000"/>
                <w:kern w:val="0"/>
                <w:sz w:val="18"/>
                <w:lang w:val="en-US" w:eastAsia="zh-CN"/>
              </w:rPr>
              <w:t>主管部门提供以下材料：</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1．投放计划（包括投放自行车车辆数、重点投放区域）；</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2．运维方案（包括运营维护、管理人员数量、车辆周转、停放场地相关证明材料）；</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3．运营模式说明，服务管理、安全管理、服务质量及投诉管理、信息安全及用户隐私保护等制度文本；</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4．与银行或具有第三方支付资质的非银行机构签订的资金支付协议；</w:t>
            </w:r>
          </w:p>
          <w:p>
            <w:pPr>
              <w:widowControl w:val="0"/>
              <w:spacing w:line="240" w:lineRule="auto"/>
              <w:ind w:firstLine="360" w:firstLineChars="200"/>
              <w:jc w:val="both"/>
              <w:textAlignment w:val="center"/>
              <w:rPr>
                <w:rFonts w:ascii="仿宋_GB2312" w:eastAsia="仿宋_GB2312"/>
                <w:sz w:val="28"/>
                <w:szCs w:val="28"/>
              </w:rPr>
            </w:pPr>
            <w:r>
              <w:rPr>
                <w:rFonts w:hint="eastAsia" w:ascii="仿宋" w:hAnsi="仿宋" w:eastAsia="仿宋"/>
                <w:color w:val="000000"/>
                <w:kern w:val="0"/>
                <w:sz w:val="18"/>
                <w:lang w:val="en-US" w:eastAsia="zh-CN"/>
              </w:rPr>
              <w:t>5．法律、法规、规章要求提供的其他材料。</w:t>
            </w:r>
          </w:p>
        </w:tc>
        <w:tc>
          <w:tcPr>
            <w:tcW w:w="3769" w:type="dxa"/>
            <w:vAlign w:val="center"/>
          </w:tcPr>
          <w:p>
            <w:p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1.明确了车辆投放期限及逾期不投放的处置内容。</w:t>
            </w:r>
          </w:p>
          <w:p>
            <w:pPr>
              <w:spacing w:line="240" w:lineRule="auto"/>
              <w:ind w:firstLine="360" w:firstLineChars="200"/>
              <w:rPr>
                <w:rFonts w:hint="eastAsia" w:ascii="仿宋" w:hAnsi="仿宋" w:eastAsia="仿宋"/>
                <w:color w:val="000000"/>
                <w:kern w:val="0"/>
                <w:sz w:val="18"/>
                <w:lang w:val="en-US" w:eastAsia="zh-CN"/>
              </w:rPr>
            </w:pPr>
            <w:r>
              <w:rPr>
                <w:rFonts w:hint="eastAsia" w:ascii="宋体" w:hAnsi="宋体" w:cs="宋体"/>
                <w:color w:val="000000"/>
                <w:kern w:val="0"/>
                <w:sz w:val="18"/>
                <w:szCs w:val="18"/>
                <w:lang w:val="en-US" w:eastAsia="zh-CN" w:bidi="ar"/>
              </w:rPr>
              <w:t>2.明确了车辆投放前的要求和车辆备案要求及须向主管部门递交的材料清单；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269" w:hRule="atLeast"/>
          <w:jc w:val="center"/>
        </w:trPr>
        <w:tc>
          <w:tcPr>
            <w:tcW w:w="633" w:type="dxa"/>
            <w:vAlign w:val="center"/>
          </w:tcPr>
          <w:p>
            <w:pPr>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9</w:t>
            </w:r>
          </w:p>
        </w:tc>
        <w:tc>
          <w:tcPr>
            <w:tcW w:w="850" w:type="dxa"/>
            <w:vAlign w:val="center"/>
          </w:tcPr>
          <w:p>
            <w:pPr>
              <w:spacing w:line="240" w:lineRule="auto"/>
              <w:jc w:val="center"/>
              <w:rPr>
                <w:rFonts w:hint="eastAsia" w:ascii="仿宋_GB2312" w:eastAsia="仿宋_GB2312"/>
                <w:sz w:val="24"/>
                <w:lang w:eastAsia="zh-CN"/>
              </w:rPr>
            </w:pPr>
            <w:r>
              <w:rPr>
                <w:rFonts w:hint="eastAsia" w:ascii="黑体" w:hAnsi="黑体" w:eastAsia="黑体" w:cs="黑体"/>
                <w:sz w:val="24"/>
                <w:lang w:eastAsia="zh-CN"/>
              </w:rPr>
              <w:t>三</w:t>
            </w:r>
            <w:r>
              <w:rPr>
                <w:rFonts w:hint="eastAsia" w:ascii="仿宋_GB2312" w:eastAsia="仿宋_GB2312"/>
                <w:sz w:val="24"/>
                <w:lang w:eastAsia="zh-CN"/>
              </w:rPr>
              <w:t>（四）（五）（六）</w:t>
            </w:r>
          </w:p>
        </w:tc>
        <w:tc>
          <w:tcPr>
            <w:tcW w:w="3391"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（四）保障服务。</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企业要加强线上线下服务能力建设，落实运营企业主体责任，建立日常管理维护制度，配备与车辆投放规模相匹配的专业运营维护管理团队，及时更新淘汰达不到安全标准的车辆，加强车辆调度、车辆停放秩序的管理，保障车辆技术状态良好、方便使用、停放有序；实行实名制注册，鼓励采取记入信用记录等措施规范用户停车行为；提高系统的稳定性可靠性，保障系统正常运行；建立健全骑行保险理赔机制，创新保险机制，为用户购买人身意外伤害险，并积极协助用户办理保险理赔事宜；建立投诉服务制度，公布投诉服务电话，及时处理各类投诉。禁止向未满12岁的儿童提供服务。</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（五）确保用户资金安全。</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鼓励企业推行免押金、降低押金、实时退还押金等方式提升服务。收取用户押金与预存资金的，在企业注册地开立用户押金、预付资金专用账户，实施专款专用，公示押金与预存资金退还时限，及时退还用户资金；定期公开用户押金使用信息，主动接受社会公众监督。</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（六）确保用户信息安全。</w:t>
            </w:r>
          </w:p>
          <w:p>
            <w:pPr>
              <w:widowControl w:val="0"/>
              <w:spacing w:line="240" w:lineRule="auto"/>
              <w:ind w:firstLine="360" w:firstLineChars="200"/>
              <w:jc w:val="both"/>
              <w:textAlignment w:val="center"/>
              <w:rPr>
                <w:rFonts w:hint="eastAsia" w:ascii="Times New Roman" w:hAnsi="Times New Roman" w:eastAsia="仿宋_GB2312" w:cs="Times New Roman"/>
                <w:snapToGrid w:val="0"/>
                <w:spacing w:val="-6"/>
                <w:kern w:val="0"/>
                <w:sz w:val="32"/>
                <w:szCs w:val="32"/>
                <w:lang w:val="en-US" w:eastAsia="zh-CN"/>
              </w:rPr>
            </w:pPr>
            <w:r>
              <w:rPr>
                <w:rFonts w:hint="eastAsia" w:ascii="仿宋" w:hAnsi="仿宋" w:eastAsia="仿宋"/>
                <w:color w:val="000000"/>
                <w:kern w:val="0"/>
                <w:sz w:val="18"/>
                <w:lang w:val="en-US" w:eastAsia="zh-CN"/>
              </w:rPr>
              <w:t>企业信息平台的数据应按照国家及本市的网络安全和信息安全要求进行管理，所采集的用户个人身份信息和业务数据，应当在中国大陆境内存储和使用，除法律法规另有规定外，不得擅自公开、泄露或向他人提供，保证注册身份信息安全，保护用户合法权益。</w:t>
            </w:r>
          </w:p>
          <w:p>
            <w:pPr>
              <w:spacing w:line="240" w:lineRule="auto"/>
              <w:jc w:val="center"/>
              <w:rPr>
                <w:rFonts w:hint="eastAsia" w:ascii="仿宋" w:hAnsi="仿宋" w:eastAsia="仿宋" w:cs="仿宋"/>
                <w:color w:val="000000"/>
                <w:kern w:val="0"/>
                <w:sz w:val="18"/>
                <w:szCs w:val="18"/>
                <w:lang w:eastAsia="zh-CN" w:bidi="ar"/>
              </w:rPr>
            </w:pPr>
          </w:p>
        </w:tc>
        <w:tc>
          <w:tcPr>
            <w:tcW w:w="4925" w:type="dxa"/>
            <w:vAlign w:val="center"/>
          </w:tcPr>
          <w:p>
            <w:pPr>
              <w:spacing w:line="240" w:lineRule="auto"/>
              <w:ind w:firstLine="360" w:firstLineChars="200"/>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原文三（四）（五）（六）调整至第四点，第三点增补以下内容：</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（四）车辆配额回收</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有下列情形之一的，由招标单位无偿收回全部的运营配额：</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1.运营配额期限届满的；</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2.经营者因破产、解散、被吊销营业执照等原因终止经营的；</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3.车辆投放与管理服务协议被终止或者解除的。</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有下列情形之一的，由招标单位无偿收回相应数量的运营配额：</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1.经营者取得运营配额之日起3个月内未完成相应数量车辆投放的；</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2.经营者转让、出租运营配额的。</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经营者应当自运营配额被收回之日起30日内回收已投放的相应车辆。招标单位应当根据共享自行车行业发展情况决定是否重新投放收回的运营配额；决定重新投放的，应当依照本指导意见相关要求投放。</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（五）数据接入</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经营者应当将车辆动态总量、车辆停放位置信息、订单数据、车辆轨迹、运维人员数据、使用人数量，以及其他涉及公共利益管理需要的信息实时、完整、准确的传输至市交通运输部门的第三方监管平台。</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（六）终止经营</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经营者暂停或者终止运营的，应当提前60日书面报告市交通运输部门，说明有关情况，并向社会公告，公告期限不得少于30日。</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终止运营前，按照国家关于交通运输新业态用户资金管理的相关规定做好押金、预付金等处置工作，收回投放的全部车辆。</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终止运营后，市交通运输部门注销经营者车辆编码信息。</w:t>
            </w:r>
          </w:p>
          <w:p>
            <w:pPr>
              <w:spacing w:line="240" w:lineRule="auto"/>
              <w:jc w:val="both"/>
              <w:rPr>
                <w:rFonts w:ascii="仿宋" w:hAnsi="仿宋" w:eastAsia="仿宋"/>
                <w:color w:val="000000"/>
                <w:kern w:val="0"/>
                <w:sz w:val="18"/>
              </w:rPr>
            </w:pPr>
          </w:p>
        </w:tc>
        <w:tc>
          <w:tcPr>
            <w:tcW w:w="3769" w:type="dxa"/>
            <w:vAlign w:val="center"/>
          </w:tcPr>
          <w:p>
            <w:pPr>
              <w:numPr>
                <w:ilvl w:val="0"/>
                <w:numId w:val="0"/>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1.明确了招标单位收回车辆配额的几种情形；</w:t>
            </w:r>
          </w:p>
          <w:p>
            <w:pPr>
              <w:numPr>
                <w:ilvl w:val="0"/>
                <w:numId w:val="0"/>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2.明确了相关数据接入第三方监管平台的具体要求；</w:t>
            </w:r>
          </w:p>
          <w:p>
            <w:pPr>
              <w:numPr>
                <w:ilvl w:val="0"/>
                <w:numId w:val="0"/>
              </w:numPr>
              <w:spacing w:line="240" w:lineRule="auto"/>
              <w:ind w:firstLine="360" w:firstLineChars="200"/>
              <w:rPr>
                <w:rFonts w:hint="eastAsia" w:ascii="仿宋" w:hAnsi="仿宋" w:eastAsia="仿宋"/>
                <w:color w:val="000000"/>
                <w:kern w:val="0"/>
                <w:sz w:val="18"/>
                <w:lang w:val="en-US" w:eastAsia="zh-CN"/>
              </w:rPr>
            </w:pPr>
            <w:r>
              <w:rPr>
                <w:rFonts w:hint="eastAsia" w:ascii="宋体" w:hAnsi="宋体" w:cs="宋体"/>
                <w:color w:val="000000"/>
                <w:kern w:val="0"/>
                <w:sz w:val="18"/>
                <w:szCs w:val="18"/>
                <w:lang w:val="en-US" w:eastAsia="zh-CN" w:bidi="ar"/>
              </w:rPr>
              <w:t>3.明确了企业终止经营需要注意的事项。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602" w:hRule="atLeast"/>
          <w:jc w:val="center"/>
        </w:trPr>
        <w:tc>
          <w:tcPr>
            <w:tcW w:w="633" w:type="dxa"/>
            <w:vAlign w:val="center"/>
          </w:tcPr>
          <w:p>
            <w:pPr>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10</w:t>
            </w:r>
          </w:p>
        </w:tc>
        <w:tc>
          <w:tcPr>
            <w:tcW w:w="850" w:type="dxa"/>
            <w:vAlign w:val="center"/>
          </w:tcPr>
          <w:p>
            <w:pPr>
              <w:spacing w:line="240" w:lineRule="auto"/>
              <w:jc w:val="center"/>
              <w:rPr>
                <w:rFonts w:hint="eastAsia" w:ascii="仿宋_GB2312" w:eastAsia="仿宋_GB2312"/>
                <w:sz w:val="24"/>
                <w:lang w:eastAsia="zh-CN"/>
              </w:rPr>
            </w:pPr>
            <w:r>
              <w:rPr>
                <w:rFonts w:hint="eastAsia" w:ascii="黑体" w:hAnsi="黑体" w:eastAsia="黑体" w:cs="黑体"/>
                <w:sz w:val="24"/>
                <w:lang w:eastAsia="zh-CN"/>
              </w:rPr>
              <w:t>四</w:t>
            </w:r>
          </w:p>
        </w:tc>
        <w:tc>
          <w:tcPr>
            <w:tcW w:w="3391" w:type="dxa"/>
            <w:vAlign w:val="center"/>
          </w:tcPr>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四、用户规范行为</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租用共享自行车的用户，应当遵守城市管理、道路管理、交通管理等相关法律、法规、规章的规定，文明骑行、规范停放，不得使用自行车载人，不得擅自加装儿童座椅等设备，确保骑行安全。</w:t>
            </w:r>
          </w:p>
          <w:p>
            <w:pPr>
              <w:spacing w:line="240" w:lineRule="auto"/>
              <w:jc w:val="both"/>
              <w:rPr>
                <w:rFonts w:ascii="仿宋" w:hAnsi="仿宋" w:eastAsia="仿宋" w:cs="仿宋"/>
                <w:color w:val="000000"/>
                <w:kern w:val="0"/>
                <w:sz w:val="18"/>
                <w:szCs w:val="18"/>
                <w:lang w:bidi="ar"/>
              </w:rPr>
            </w:pPr>
          </w:p>
        </w:tc>
        <w:tc>
          <w:tcPr>
            <w:tcW w:w="4925" w:type="dxa"/>
            <w:vAlign w:val="center"/>
          </w:tcPr>
          <w:p>
            <w:pPr>
              <w:spacing w:line="240" w:lineRule="auto"/>
              <w:ind w:firstLine="360" w:firstLineChars="200"/>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原第四点调整至第五点，原文三（四）（五）（六）调整至第四点，并增补以下内容：</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四、经营者规范服务</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（一）规范服务。</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经营者应当与用户签订服务协议，明确双方权利义务，明确用户骑行、停放等方面的要求，并按照国家相关规定，公开计费方式和收费标准，依法依规经营。经营者要与招标单位签订经营服务协议，明确经营管理要求、履约考核标准、违约责任等内容，并主动接受交通及相关行政管理部门的监督管理，不得妨碍市场公平竞争，不得侵害用户合法权益和公共利益；自觉遵守社会公德，诚实守信，接受社会组织、社会舆论和人民群众的监督，主动承担社会责任。经营者不得转让、出租互联网租赁自行车运营配额。</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（二）车辆规范停放</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经营者停放共享自行车，不得占用机动车道、非机动车道、人行天桥、人行隧道、公共绿地、水库、河道、湿地、消防通道、无障碍设施等禁止停放区域。</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在限制停放区域内，应当停放在自行车停放区、自行车停车场等规定地点。在其他区域内，不得妨碍行人和车辆正常通行，可充分利用原有公共自行车停放区域，车辆停放应当整齐有序、车头朝向一致。</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（三）保障服务。</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经营者要加强线上线下服务能力建设，落实运营经营者主体责任，建立日常管理维护制度，配备与车辆投放规模相匹配的专业运营维护管理团队，及时更新淘汰达不到安全标准的车辆，加强车辆调度、车辆停放秩序的管理，保障车辆技术状态良好、方便使用、停放有序。</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实行实名制注册，鼓励采取记入信用记录等措施规范用户停车行为；提高系统的稳定性可靠性，保障系统正常运行。</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建立健全骑行保险理赔机制，创新保险机制，为用户购买人身意外伤害险，并积极协助用户办理保险理赔事宜。</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建立投诉服务制度，公布投诉服务电话，及时处理各类投诉。</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禁止向未满12岁的儿童提供服务。</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（四）确保用户资金安全。</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鼓励经营者推行免押金、降低押金、实时退还押金等方式提升服务。收取用户押金与预存资金的，在经营者注册地开立用户押金、预付资金专用账户，实施专款专用，公示押金与预存资金退还时限，及时退还用户资金；定期公开用户押金使用信息，主动接受社会公众监督。</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（五）确保用户信息安全。</w:t>
            </w:r>
          </w:p>
          <w:p>
            <w:pPr>
              <w:widowControl w:val="0"/>
              <w:spacing w:line="240" w:lineRule="auto"/>
              <w:ind w:firstLine="360" w:firstLineChars="200"/>
              <w:jc w:val="both"/>
              <w:textAlignment w:val="center"/>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经营者信息平台的数据应按照国家及本市的网络安全和信息安全要求进行管理，所采集的用户个人身份信息和业务数据，应当在中国大陆境内存储和使用，除法律法规另有规定外，不得擅自公开、泄露或向他人提供，保证注册身份信息安全，保护用户合法权益。</w:t>
            </w:r>
          </w:p>
          <w:p>
            <w:pPr>
              <w:widowControl w:val="0"/>
              <w:spacing w:line="240" w:lineRule="auto"/>
              <w:ind w:firstLine="360" w:firstLineChars="200"/>
              <w:jc w:val="both"/>
              <w:textAlignment w:val="center"/>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（六）应急处置</w:t>
            </w:r>
          </w:p>
          <w:p>
            <w:pPr>
              <w:widowControl w:val="0"/>
              <w:spacing w:line="240" w:lineRule="auto"/>
              <w:ind w:firstLine="360" w:firstLineChars="200"/>
              <w:jc w:val="both"/>
              <w:textAlignment w:val="center"/>
              <w:rPr>
                <w:rFonts w:ascii="仿宋" w:hAnsi="仿宋" w:eastAsia="仿宋" w:cs="仿宋"/>
                <w:color w:val="000000"/>
                <w:kern w:val="0"/>
                <w:sz w:val="18"/>
                <w:szCs w:val="18"/>
                <w:lang w:bidi="ar"/>
              </w:rPr>
            </w:pPr>
            <w:r>
              <w:rPr>
                <w:rFonts w:hint="eastAsia" w:ascii="微软雅黑" w:hAnsi="微软雅黑" w:eastAsia="微软雅黑"/>
                <w:b/>
                <w:color w:val="000000"/>
                <w:kern w:val="0"/>
                <w:sz w:val="18"/>
                <w:lang w:val="en-US" w:eastAsia="zh-CN"/>
              </w:rPr>
              <w:t>经营者应当制定应对台风、暴雨、社会安全等突发事件的应急预案，及时处置，保障用户权益和公共安全。</w:t>
            </w:r>
          </w:p>
        </w:tc>
        <w:tc>
          <w:tcPr>
            <w:tcW w:w="3769" w:type="dxa"/>
            <w:vAlign w:val="center"/>
          </w:tcPr>
          <w:p>
            <w:pPr>
              <w:numPr>
                <w:ilvl w:val="0"/>
                <w:numId w:val="0"/>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将原文第四点调整为经营者规范服务要求：</w:t>
            </w:r>
          </w:p>
          <w:p>
            <w:pPr>
              <w:numPr>
                <w:ilvl w:val="0"/>
                <w:numId w:val="1"/>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明确了经营者要与用户、招标单位各自签订协议；</w:t>
            </w:r>
          </w:p>
          <w:p>
            <w:pPr>
              <w:numPr>
                <w:ilvl w:val="0"/>
                <w:numId w:val="1"/>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在原文基础上，进一步明确了共享自行车规范停放的要求；</w:t>
            </w: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0"/>
              </w:numPr>
              <w:spacing w:line="240" w:lineRule="auto"/>
              <w:rPr>
                <w:rFonts w:hint="eastAsia" w:ascii="仿宋" w:hAnsi="仿宋" w:eastAsia="仿宋"/>
                <w:kern w:val="0"/>
                <w:sz w:val="18"/>
                <w:lang w:val="en-US" w:eastAsia="zh-CN"/>
              </w:rPr>
            </w:pPr>
          </w:p>
          <w:p>
            <w:pPr>
              <w:numPr>
                <w:ilvl w:val="0"/>
                <w:numId w:val="1"/>
              </w:numPr>
              <w:spacing w:line="240" w:lineRule="auto"/>
              <w:ind w:firstLine="360" w:firstLineChars="200"/>
              <w:rPr>
                <w:rFonts w:hint="eastAsia" w:ascii="仿宋" w:hAnsi="仿宋" w:eastAsia="仿宋"/>
                <w:kern w:val="0"/>
                <w:sz w:val="18"/>
                <w:lang w:val="en-US" w:eastAsia="zh-CN"/>
              </w:rPr>
            </w:pPr>
            <w:r>
              <w:rPr>
                <w:rFonts w:hint="eastAsia" w:ascii="宋体" w:hAnsi="宋体" w:cs="宋体"/>
                <w:color w:val="000000"/>
                <w:kern w:val="0"/>
                <w:sz w:val="18"/>
                <w:szCs w:val="18"/>
                <w:lang w:val="en-US" w:eastAsia="zh-CN" w:bidi="ar"/>
              </w:rPr>
              <w:t>增加了经营者应急处置内容，明确了经营者应当制定应对台风、暴雨、社会安全等突发事件的应急预案，及时处置，保障用户权益和公共安全。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602" w:hRule="atLeast"/>
          <w:jc w:val="center"/>
        </w:trPr>
        <w:tc>
          <w:tcPr>
            <w:tcW w:w="633" w:type="dxa"/>
            <w:vAlign w:val="center"/>
          </w:tcPr>
          <w:p>
            <w:pPr>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11</w:t>
            </w:r>
          </w:p>
        </w:tc>
        <w:tc>
          <w:tcPr>
            <w:tcW w:w="850" w:type="dxa"/>
            <w:vAlign w:val="center"/>
          </w:tcPr>
          <w:p>
            <w:pPr>
              <w:spacing w:line="240" w:lineRule="auto"/>
              <w:jc w:val="center"/>
              <w:rPr>
                <w:rFonts w:hint="eastAsia" w:ascii="黑体" w:hAnsi="黑体" w:eastAsia="黑体" w:cs="黑体"/>
                <w:sz w:val="24"/>
                <w:lang w:eastAsia="zh-CN"/>
              </w:rPr>
            </w:pPr>
            <w:r>
              <w:rPr>
                <w:rFonts w:hint="eastAsia" w:ascii="黑体" w:hAnsi="黑体" w:eastAsia="黑体" w:cs="黑体"/>
                <w:sz w:val="24"/>
                <w:lang w:eastAsia="zh-CN"/>
              </w:rPr>
              <w:t>五</w:t>
            </w:r>
          </w:p>
        </w:tc>
        <w:tc>
          <w:tcPr>
            <w:tcW w:w="3391" w:type="dxa"/>
            <w:vAlign w:val="center"/>
          </w:tcPr>
          <w:p>
            <w:pPr>
              <w:spacing w:line="240" w:lineRule="auto"/>
              <w:ind w:firstLine="360" w:firstLineChars="200"/>
              <w:jc w:val="both"/>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五、用户规范行为</w:t>
            </w:r>
          </w:p>
          <w:p>
            <w:pPr>
              <w:spacing w:line="240" w:lineRule="auto"/>
              <w:ind w:firstLine="360" w:firstLineChars="200"/>
              <w:jc w:val="both"/>
              <w:rPr>
                <w:rFonts w:ascii="仿宋" w:hAnsi="仿宋" w:eastAsia="仿宋" w:cs="仿宋"/>
                <w:color w:val="000000"/>
                <w:kern w:val="0"/>
                <w:sz w:val="18"/>
                <w:szCs w:val="18"/>
                <w:lang w:bidi="ar"/>
              </w:rPr>
            </w:pPr>
            <w:r>
              <w:rPr>
                <w:rFonts w:hint="eastAsia" w:ascii="仿宋" w:hAnsi="仿宋" w:eastAsia="仿宋"/>
                <w:color w:val="000000"/>
                <w:kern w:val="0"/>
                <w:sz w:val="18"/>
                <w:lang w:val="en-US" w:eastAsia="zh-CN"/>
              </w:rPr>
              <w:t>租用共享自行车的用户，应当遵守城市管理、道路管理、交通管理等相关法律、法规、规章的规定，文明骑行、规范停放，不得使用自行车载人，不得擅自加装儿童座椅等设备，确保骑行安全。</w:t>
            </w:r>
          </w:p>
        </w:tc>
        <w:tc>
          <w:tcPr>
            <w:tcW w:w="4925" w:type="dxa"/>
            <w:vAlign w:val="center"/>
          </w:tcPr>
          <w:p>
            <w:pPr>
              <w:spacing w:line="240" w:lineRule="auto"/>
              <w:ind w:firstLine="360" w:firstLineChars="200"/>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原第四点调整为第五点，并增补以下内容：</w:t>
            </w:r>
          </w:p>
          <w:p>
            <w:pPr>
              <w:spacing w:line="240" w:lineRule="auto"/>
              <w:ind w:firstLine="360" w:firstLineChars="200"/>
              <w:jc w:val="both"/>
              <w:rPr>
                <w:rFonts w:hint="eastAsia" w:ascii="仿宋" w:hAnsi="仿宋" w:eastAsia="仿宋"/>
                <w:color w:val="000000"/>
                <w:kern w:val="0"/>
                <w:sz w:val="18"/>
                <w:lang w:val="en-US" w:eastAsia="zh-CN"/>
              </w:rPr>
            </w:pPr>
            <w:r>
              <w:rPr>
                <w:rFonts w:hint="eastAsia" w:ascii="仿宋" w:hAnsi="仿宋" w:eastAsia="仿宋"/>
                <w:color w:val="000000"/>
                <w:kern w:val="0"/>
                <w:sz w:val="18"/>
                <w:lang w:val="en-US" w:eastAsia="zh-CN"/>
              </w:rPr>
              <w:t>五、用户规范行为</w:t>
            </w:r>
          </w:p>
          <w:p>
            <w:pPr>
              <w:spacing w:line="240" w:lineRule="auto"/>
              <w:ind w:firstLine="360" w:firstLineChars="200"/>
              <w:jc w:val="both"/>
              <w:rPr>
                <w:rFonts w:ascii="仿宋" w:hAnsi="仿宋" w:eastAsia="仿宋" w:cs="仿宋"/>
                <w:color w:val="000000"/>
                <w:kern w:val="0"/>
                <w:sz w:val="18"/>
                <w:szCs w:val="18"/>
                <w:lang w:bidi="ar"/>
              </w:rPr>
            </w:pPr>
            <w:r>
              <w:rPr>
                <w:rFonts w:hint="eastAsia" w:ascii="仿宋" w:hAnsi="仿宋" w:eastAsia="仿宋"/>
                <w:color w:val="000000"/>
                <w:kern w:val="0"/>
                <w:sz w:val="18"/>
                <w:lang w:val="en-US" w:eastAsia="zh-CN"/>
              </w:rPr>
              <w:t>租用共享自行车的用户，应当遵守城市管理、道路管理、交通管理等相关法律、法规、规章的规定，文明骑行、规范停放，不得使用自行车载人，不得擅自加装儿童座椅等设备，确保骑行安全。</w:t>
            </w:r>
            <w:r>
              <w:rPr>
                <w:rFonts w:hint="eastAsia" w:ascii="微软雅黑" w:hAnsi="微软雅黑" w:eastAsia="微软雅黑"/>
                <w:b/>
                <w:color w:val="000000"/>
                <w:kern w:val="0"/>
                <w:sz w:val="18"/>
                <w:lang w:val="en-US" w:eastAsia="zh-CN"/>
              </w:rPr>
              <w:t>各相关部门、镇街和经营者要充分利用广播、电视、报刊、互联网等新闻媒体加强共享自行车使用规范和安全文明骑行的宣传教育，引导用户增强诚信和文明意识、遵守交通法规、遵守社会公德。</w:t>
            </w:r>
          </w:p>
        </w:tc>
        <w:tc>
          <w:tcPr>
            <w:tcW w:w="3769" w:type="dxa"/>
            <w:vAlign w:val="center"/>
          </w:tcPr>
          <w:p>
            <w:pPr>
              <w:spacing w:line="240" w:lineRule="auto"/>
              <w:ind w:firstLine="360" w:firstLineChars="200"/>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增加了加强宣传教育部分的内容，有利于引导用户增强诚信和文明意识、遵守交通法规、遵守社会公德。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882" w:hRule="atLeast"/>
          <w:jc w:val="center"/>
        </w:trPr>
        <w:tc>
          <w:tcPr>
            <w:tcW w:w="633" w:type="dxa"/>
            <w:vAlign w:val="center"/>
          </w:tcPr>
          <w:p>
            <w:pPr>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12</w:t>
            </w:r>
          </w:p>
        </w:tc>
        <w:tc>
          <w:tcPr>
            <w:tcW w:w="850" w:type="dxa"/>
            <w:vAlign w:val="center"/>
          </w:tcPr>
          <w:p>
            <w:pPr>
              <w:spacing w:line="240" w:lineRule="auto"/>
              <w:jc w:val="center"/>
              <w:rPr>
                <w:rFonts w:hint="eastAsia" w:ascii="黑体" w:hAnsi="黑体" w:eastAsia="黑体" w:cs="黑体"/>
                <w:sz w:val="24"/>
                <w:lang w:eastAsia="zh-CN"/>
              </w:rPr>
            </w:pPr>
            <w:r>
              <w:rPr>
                <w:rFonts w:hint="eastAsia" w:ascii="黑体" w:hAnsi="黑体" w:eastAsia="黑体" w:cs="黑体"/>
                <w:sz w:val="24"/>
                <w:lang w:eastAsia="zh-CN"/>
              </w:rPr>
              <w:t>六</w:t>
            </w:r>
          </w:p>
        </w:tc>
        <w:tc>
          <w:tcPr>
            <w:tcW w:w="3391" w:type="dxa"/>
            <w:vAlign w:val="center"/>
          </w:tcPr>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宋体" w:hAnsi="宋体" w:eastAsia="宋体" w:cs="宋体"/>
                <w:color w:val="000000"/>
                <w:kern w:val="0"/>
                <w:sz w:val="18"/>
                <w:szCs w:val="18"/>
                <w:lang w:val="en-US" w:eastAsia="zh-CN" w:bidi="ar"/>
              </w:rPr>
              <w:t>增加第六点内容。</w:t>
            </w:r>
          </w:p>
        </w:tc>
        <w:tc>
          <w:tcPr>
            <w:tcW w:w="4925" w:type="dxa"/>
            <w:vAlign w:val="center"/>
          </w:tcPr>
          <w:p>
            <w:pPr>
              <w:spacing w:line="240" w:lineRule="auto"/>
              <w:ind w:firstLine="360" w:firstLineChars="200"/>
              <w:jc w:val="both"/>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六、监督管理</w:t>
            </w:r>
          </w:p>
          <w:p>
            <w:pPr>
              <w:spacing w:line="240" w:lineRule="auto"/>
              <w:ind w:firstLine="360" w:firstLineChars="200"/>
              <w:jc w:val="both"/>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（一）服务质量考核</w:t>
            </w:r>
          </w:p>
          <w:p>
            <w:pPr>
              <w:spacing w:line="240" w:lineRule="auto"/>
              <w:ind w:firstLine="360" w:firstLineChars="200"/>
              <w:jc w:val="both"/>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各招标单位应制定共享自行车经营者服务质量考核工作方案，定期对取得运营配额经营者的车辆使用周转、运营维护、公众满意度、守法经营等情况进行考核。考核工作应委托第三方机构开展实施，并将考核结果通报经营者同时向社会公布。</w:t>
            </w:r>
          </w:p>
          <w:p>
            <w:pPr>
              <w:spacing w:line="240" w:lineRule="auto"/>
              <w:ind w:firstLine="360" w:firstLineChars="200"/>
              <w:jc w:val="both"/>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（二）配额调整和信用管理</w:t>
            </w:r>
          </w:p>
          <w:p>
            <w:pPr>
              <w:spacing w:line="240" w:lineRule="auto"/>
              <w:ind w:firstLine="360" w:firstLineChars="200"/>
              <w:jc w:val="both"/>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各招标单位应根据考核结果对经营者的运营配额数量实行动态调节，并将相关信息纳入公共信用信息管理。</w:t>
            </w:r>
          </w:p>
          <w:p>
            <w:pPr>
              <w:spacing w:line="240" w:lineRule="auto"/>
              <w:ind w:firstLine="360" w:firstLineChars="200"/>
              <w:jc w:val="both"/>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（三）投诉、举报管理</w:t>
            </w:r>
          </w:p>
          <w:p>
            <w:pPr>
              <w:spacing w:line="240" w:lineRule="auto"/>
              <w:ind w:firstLine="360" w:firstLineChars="200"/>
              <w:jc w:val="both"/>
              <w:rPr>
                <w:rFonts w:ascii="仿宋" w:hAnsi="仿宋" w:eastAsia="仿宋" w:cs="仿宋"/>
                <w:color w:val="000000"/>
                <w:kern w:val="0"/>
                <w:sz w:val="18"/>
                <w:szCs w:val="18"/>
                <w:lang w:bidi="ar"/>
              </w:rPr>
            </w:pPr>
            <w:r>
              <w:rPr>
                <w:rFonts w:hint="eastAsia" w:ascii="微软雅黑" w:hAnsi="微软雅黑" w:eastAsia="微软雅黑"/>
                <w:b/>
                <w:color w:val="000000"/>
                <w:kern w:val="0"/>
                <w:sz w:val="18"/>
                <w:lang w:val="en-US" w:eastAsia="zh-CN"/>
              </w:rPr>
              <w:t>市相关部门、各镇街应当建立健全共享自行车服务投诉举报制度，并按照各自职责处理投诉、举报事项，收到投诉、举报并登记投诉、举报信息后，可以将投诉、举报事项转交经营者在规定时限内调查处理，经营者处理完毕后2个工作日内将处理结果向投诉、举报人反馈并报相关部门。</w:t>
            </w:r>
          </w:p>
        </w:tc>
        <w:tc>
          <w:tcPr>
            <w:tcW w:w="3769" w:type="dxa"/>
            <w:vAlign w:val="center"/>
          </w:tcPr>
          <w:p>
            <w:p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明确了对共享自行车经营者监督管理方面的要求：</w:t>
            </w:r>
          </w:p>
          <w:p>
            <w:pPr>
              <w:numPr>
                <w:ilvl w:val="0"/>
                <w:numId w:val="2"/>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明确了各招标单位要委托第三方定期开展对经营者的服务质量信誉考核；</w:t>
            </w:r>
          </w:p>
          <w:p>
            <w:pPr>
              <w:numPr>
                <w:ilvl w:val="0"/>
                <w:numId w:val="2"/>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明确了根据考核结果对配额进行动态调整；</w:t>
            </w:r>
          </w:p>
          <w:p>
            <w:pPr>
              <w:numPr>
                <w:ilvl w:val="0"/>
                <w:numId w:val="2"/>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明确了投诉、举报机制。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12" w:hRule="atLeast"/>
          <w:jc w:val="center"/>
        </w:trPr>
        <w:tc>
          <w:tcPr>
            <w:tcW w:w="633" w:type="dxa"/>
            <w:vAlign w:val="center"/>
          </w:tcPr>
          <w:p>
            <w:pPr>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13</w:t>
            </w:r>
          </w:p>
        </w:tc>
        <w:tc>
          <w:tcPr>
            <w:tcW w:w="850" w:type="dxa"/>
            <w:vAlign w:val="center"/>
          </w:tcPr>
          <w:p>
            <w:pPr>
              <w:spacing w:line="240" w:lineRule="auto"/>
              <w:jc w:val="center"/>
              <w:rPr>
                <w:rFonts w:hint="eastAsia" w:ascii="仿宋_GB2312" w:eastAsia="仿宋_GB2312"/>
                <w:sz w:val="24"/>
                <w:lang w:eastAsia="zh-CN"/>
              </w:rPr>
            </w:pPr>
            <w:r>
              <w:rPr>
                <w:rFonts w:hint="eastAsia" w:ascii="黑体" w:hAnsi="黑体" w:eastAsia="黑体" w:cs="黑体"/>
                <w:sz w:val="24"/>
                <w:lang w:eastAsia="zh-CN"/>
              </w:rPr>
              <w:t>七</w:t>
            </w:r>
          </w:p>
        </w:tc>
        <w:tc>
          <w:tcPr>
            <w:tcW w:w="3391" w:type="dxa"/>
            <w:vAlign w:val="center"/>
          </w:tcPr>
          <w:p>
            <w:pPr>
              <w:spacing w:line="240" w:lineRule="auto"/>
              <w:ind w:firstLine="360" w:firstLineChars="200"/>
              <w:rPr>
                <w:rFonts w:hint="eastAsia" w:ascii="仿宋" w:hAnsi="仿宋" w:eastAsia="仿宋" w:cs="仿宋"/>
                <w:color w:val="000000"/>
                <w:kern w:val="0"/>
                <w:sz w:val="18"/>
                <w:szCs w:val="18"/>
                <w:lang w:eastAsia="zh-CN" w:bidi="ar"/>
              </w:rPr>
            </w:pPr>
            <w:r>
              <w:rPr>
                <w:rFonts w:hint="eastAsia" w:ascii="宋体" w:hAnsi="宋体" w:eastAsia="宋体" w:cs="宋体"/>
                <w:color w:val="000000"/>
                <w:kern w:val="0"/>
                <w:sz w:val="18"/>
                <w:szCs w:val="18"/>
                <w:lang w:eastAsia="zh-CN" w:bidi="ar"/>
              </w:rPr>
              <w:t>原第五点调整至第七点，原文内容：</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根据“属地管理”原则，各镇区要强化属地责任，市属职能部门要根据职责分工，共同做好共享自行车相关服务和监督管理。</w:t>
            </w:r>
          </w:p>
          <w:p>
            <w:pPr>
              <w:spacing w:line="240" w:lineRule="auto"/>
              <w:ind w:firstLine="360" w:firstLineChars="200"/>
              <w:jc w:val="both"/>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市交通运输局：负责组织起草共享自行车规范管理指导意见，统筹规划全市共享自行车投放总量，设定全市投放车辆上限，汇总全市车辆投放情况，对全市车辆投放总量进行监测与引导。</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市公安局</w:t>
            </w:r>
            <w:r>
              <w:rPr>
                <w:rFonts w:hint="eastAsia" w:ascii="仿宋" w:hAnsi="仿宋" w:eastAsia="仿宋" w:cs="仿宋"/>
                <w:color w:val="000000"/>
                <w:kern w:val="0"/>
                <w:sz w:val="18"/>
                <w:szCs w:val="18"/>
                <w:lang w:eastAsia="zh-CN" w:bidi="ar"/>
              </w:rPr>
              <w:t>（公安交警支队）：负责打击盗窃、损坏车辆行为，维护社会治安、道路交通安全及通行秩序，对道路内乱停乱放和扰乱骑行秩序等行为进行执法。</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市城乡规划局：</w:t>
            </w:r>
            <w:r>
              <w:rPr>
                <w:rFonts w:hint="eastAsia" w:ascii="仿宋" w:hAnsi="仿宋" w:eastAsia="仿宋" w:cs="仿宋"/>
                <w:color w:val="000000"/>
                <w:kern w:val="0"/>
                <w:sz w:val="18"/>
                <w:szCs w:val="18"/>
                <w:lang w:eastAsia="zh-CN" w:bidi="ar"/>
              </w:rPr>
              <w:t>结合新区、新城建设，对于新建、改建道路，开展非机动车道规划。</w:t>
            </w:r>
          </w:p>
          <w:p>
            <w:pPr>
              <w:spacing w:line="240" w:lineRule="auto"/>
              <w:ind w:firstLine="360" w:firstLineChars="200"/>
              <w:jc w:val="both"/>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市住房城乡建设局：</w:t>
            </w:r>
            <w:r>
              <w:rPr>
                <w:rFonts w:hint="eastAsia" w:ascii="仿宋" w:hAnsi="仿宋" w:eastAsia="仿宋" w:cs="仿宋"/>
                <w:color w:val="000000"/>
                <w:kern w:val="0"/>
                <w:sz w:val="18"/>
                <w:szCs w:val="18"/>
                <w:lang w:eastAsia="zh-CN" w:bidi="ar"/>
              </w:rPr>
              <w:t>负责职责范围内的主城区非机动车道、非机动车停放点建设，指导各镇区完善慢行交通设施建设。</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市城管执法局：依据相关法规和职能对共享自行车停放进行管理。</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市发展改革局：负责提供数据推送格式，并将各部门推送的行业红黑名单信息录入中山市公共信用信息管理系统，并在信用中山网上进行公示，实现联合奖惩；同时负责价格监管。</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中国人民银行中山市中心支行：依据《人民币银行结算账户管理办法》（中国人民银行令</w:t>
            </w:r>
            <w:r>
              <w:rPr>
                <w:rFonts w:hint="eastAsia" w:ascii="仿宋" w:hAnsi="仿宋" w:eastAsia="仿宋" w:cs="仿宋"/>
                <w:color w:val="000000"/>
                <w:kern w:val="0"/>
                <w:sz w:val="18"/>
                <w:szCs w:val="18"/>
                <w:lang w:val="en-US" w:eastAsia="zh-CN" w:bidi="ar"/>
              </w:rPr>
              <w:t>〔</w:t>
            </w:r>
            <w:r>
              <w:rPr>
                <w:rFonts w:hint="eastAsia" w:ascii="仿宋" w:hAnsi="仿宋" w:eastAsia="仿宋" w:cs="仿宋"/>
                <w:color w:val="000000"/>
                <w:kern w:val="0"/>
                <w:sz w:val="18"/>
                <w:szCs w:val="18"/>
                <w:lang w:eastAsia="zh-CN" w:bidi="ar"/>
              </w:rPr>
              <w:t>2003</w:t>
            </w:r>
            <w:r>
              <w:rPr>
                <w:rFonts w:hint="eastAsia" w:ascii="仿宋" w:hAnsi="仿宋" w:eastAsia="仿宋" w:cs="仿宋"/>
                <w:color w:val="000000"/>
                <w:kern w:val="0"/>
                <w:sz w:val="18"/>
                <w:szCs w:val="18"/>
                <w:lang w:val="en-US" w:eastAsia="zh-CN" w:bidi="ar"/>
              </w:rPr>
              <w:t>〕</w:t>
            </w:r>
            <w:r>
              <w:rPr>
                <w:rFonts w:hint="eastAsia" w:ascii="仿宋" w:hAnsi="仿宋" w:eastAsia="仿宋" w:cs="仿宋"/>
                <w:color w:val="000000"/>
                <w:kern w:val="0"/>
                <w:sz w:val="18"/>
                <w:szCs w:val="18"/>
                <w:lang w:eastAsia="zh-CN" w:bidi="ar"/>
              </w:rPr>
              <w:t>第5号）的相关规定</w:t>
            </w:r>
            <w:r>
              <w:rPr>
                <w:rFonts w:hint="eastAsia" w:ascii="仿宋" w:hAnsi="仿宋" w:eastAsia="仿宋" w:cs="仿宋"/>
                <w:color w:val="000000"/>
                <w:kern w:val="0"/>
                <w:sz w:val="18"/>
                <w:szCs w:val="18"/>
                <w:lang w:val="en-US" w:eastAsia="zh-CN" w:bidi="ar"/>
              </w:rPr>
              <w:t>，</w:t>
            </w:r>
            <w:r>
              <w:rPr>
                <w:rFonts w:hint="eastAsia" w:ascii="仿宋" w:hAnsi="仿宋" w:eastAsia="仿宋" w:cs="仿宋"/>
                <w:color w:val="000000"/>
                <w:kern w:val="0"/>
                <w:sz w:val="18"/>
                <w:szCs w:val="18"/>
                <w:lang w:eastAsia="zh-CN" w:bidi="ar"/>
              </w:rPr>
              <w:t>对共享自行车押金账户实施监管。</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各镇区：负责辖区范围内共享自行车发展的具体管理工作，按职责范围建设辖区内非机动车道、非机动车停放点等慢行交通设施，动态监测辖区车辆投放情况，对辖区停放车辆总量进行控制，做好非机动车停放点的日常管理和违法骑行、违规停放的执法管理，并对企业服务实施监督管理。</w:t>
            </w:r>
          </w:p>
        </w:tc>
        <w:tc>
          <w:tcPr>
            <w:tcW w:w="4925" w:type="dxa"/>
            <w:vAlign w:val="center"/>
          </w:tcPr>
          <w:p>
            <w:pPr>
              <w:spacing w:line="240" w:lineRule="auto"/>
              <w:ind w:firstLine="360" w:firstLineChars="200"/>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原第五点调整至第七点，修订、增补内容如下：</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根据“属地管理”原则，各镇</w:t>
            </w:r>
            <w:r>
              <w:rPr>
                <w:rFonts w:hint="eastAsia" w:ascii="仿宋" w:hAnsi="仿宋" w:eastAsia="仿宋" w:cs="仿宋"/>
                <w:strike/>
                <w:dstrike w:val="0"/>
                <w:color w:val="000000"/>
                <w:kern w:val="0"/>
                <w:sz w:val="18"/>
                <w:szCs w:val="18"/>
                <w:lang w:eastAsia="zh-CN" w:bidi="ar"/>
              </w:rPr>
              <w:t>区</w:t>
            </w:r>
            <w:r>
              <w:rPr>
                <w:rFonts w:hint="eastAsia" w:ascii="微软雅黑" w:hAnsi="微软雅黑" w:eastAsia="微软雅黑"/>
                <w:b/>
                <w:color w:val="000000"/>
                <w:kern w:val="0"/>
                <w:sz w:val="18"/>
                <w:lang w:val="en-US" w:eastAsia="zh-CN"/>
              </w:rPr>
              <w:t>街</w:t>
            </w:r>
            <w:r>
              <w:rPr>
                <w:rFonts w:hint="eastAsia" w:ascii="仿宋" w:hAnsi="仿宋" w:eastAsia="仿宋" w:cs="仿宋"/>
                <w:color w:val="000000"/>
                <w:kern w:val="0"/>
                <w:sz w:val="18"/>
                <w:szCs w:val="18"/>
                <w:lang w:eastAsia="zh-CN" w:bidi="ar"/>
              </w:rPr>
              <w:t>要强化属地责任，市属职能部门要根据职责分工，共同做好共享自行车相关服务和监督管理。</w:t>
            </w:r>
          </w:p>
          <w:p>
            <w:pPr>
              <w:spacing w:line="240" w:lineRule="auto"/>
              <w:ind w:firstLine="360" w:firstLineChars="200"/>
              <w:jc w:val="both"/>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市交通运输局：负责组织起草共享自行车规范管理指导意见，统筹规划全市共享自行车投放总量，设定全市投放车辆上限，汇总全市车辆投放情况；</w:t>
            </w:r>
            <w:r>
              <w:rPr>
                <w:rFonts w:hint="eastAsia" w:ascii="微软雅黑" w:hAnsi="微软雅黑" w:eastAsia="微软雅黑"/>
                <w:b/>
                <w:color w:val="000000"/>
                <w:kern w:val="0"/>
                <w:sz w:val="18"/>
                <w:lang w:val="en-US" w:eastAsia="zh-CN"/>
              </w:rPr>
              <w:t>负责制定和组织实施中心城区共享自行车的运营配额投放计划及招投标工作；建立第三方监管平台</w:t>
            </w:r>
            <w:r>
              <w:rPr>
                <w:rFonts w:hint="eastAsia" w:ascii="仿宋" w:hAnsi="仿宋" w:eastAsia="仿宋" w:cs="仿宋"/>
                <w:color w:val="000000"/>
                <w:kern w:val="0"/>
                <w:sz w:val="18"/>
                <w:szCs w:val="18"/>
                <w:lang w:val="en-US" w:eastAsia="zh-CN" w:bidi="ar"/>
              </w:rPr>
              <w:t>对全市车辆投放总量进行监测与引导。</w:t>
            </w:r>
          </w:p>
          <w:p>
            <w:pPr>
              <w:spacing w:line="240" w:lineRule="auto"/>
              <w:ind w:firstLine="360" w:firstLineChars="200"/>
              <w:jc w:val="both"/>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市公安局</w:t>
            </w:r>
            <w:r>
              <w:rPr>
                <w:rFonts w:hint="eastAsia" w:ascii="仿宋" w:hAnsi="仿宋" w:eastAsia="仿宋" w:cs="仿宋"/>
                <w:color w:val="000000"/>
                <w:kern w:val="0"/>
                <w:sz w:val="18"/>
                <w:szCs w:val="18"/>
                <w:lang w:eastAsia="zh-CN" w:bidi="ar"/>
              </w:rPr>
              <w:t>（公安交警支队）：</w:t>
            </w:r>
            <w:r>
              <w:rPr>
                <w:rFonts w:hint="eastAsia" w:ascii="仿宋" w:hAnsi="仿宋" w:eastAsia="仿宋" w:cs="仿宋"/>
                <w:color w:val="000000"/>
                <w:kern w:val="0"/>
                <w:sz w:val="18"/>
                <w:szCs w:val="18"/>
                <w:lang w:val="en-US" w:eastAsia="zh-CN" w:bidi="ar"/>
              </w:rPr>
              <w:t>负责打击盗窃、损坏车辆行为，维护社会治安</w:t>
            </w:r>
            <w:r>
              <w:rPr>
                <w:rFonts w:hint="eastAsia" w:ascii="仿宋" w:hAnsi="仿宋" w:eastAsia="仿宋" w:cs="仿宋"/>
                <w:strike/>
                <w:dstrike w:val="0"/>
                <w:color w:val="000000"/>
                <w:kern w:val="0"/>
                <w:sz w:val="18"/>
                <w:szCs w:val="18"/>
                <w:lang w:val="en-US" w:eastAsia="zh-CN" w:bidi="ar"/>
              </w:rPr>
              <w:t>、</w:t>
            </w:r>
            <w:r>
              <w:rPr>
                <w:rFonts w:hint="eastAsia" w:ascii="仿宋" w:hAnsi="仿宋" w:eastAsia="仿宋" w:cs="仿宋"/>
                <w:strike/>
                <w:dstrike w:val="0"/>
                <w:color w:val="000000"/>
                <w:kern w:val="0"/>
                <w:sz w:val="18"/>
                <w:szCs w:val="18"/>
                <w:lang w:eastAsia="zh-CN" w:bidi="ar"/>
              </w:rPr>
              <w:t>道路交通安全及</w:t>
            </w:r>
            <w:r>
              <w:rPr>
                <w:rFonts w:hint="eastAsia" w:ascii="仿宋" w:hAnsi="仿宋" w:eastAsia="仿宋" w:cs="仿宋"/>
                <w:color w:val="000000"/>
                <w:kern w:val="0"/>
                <w:sz w:val="18"/>
                <w:szCs w:val="18"/>
                <w:lang w:val="en-US" w:eastAsia="zh-CN" w:bidi="ar"/>
              </w:rPr>
              <w:t>和道路通行秩序，对</w:t>
            </w:r>
            <w:r>
              <w:rPr>
                <w:rFonts w:hint="eastAsia" w:ascii="仿宋" w:hAnsi="仿宋" w:eastAsia="仿宋" w:cs="仿宋"/>
                <w:strike/>
                <w:dstrike w:val="0"/>
                <w:color w:val="000000"/>
                <w:kern w:val="0"/>
                <w:sz w:val="18"/>
                <w:szCs w:val="18"/>
                <w:lang w:val="en-US" w:eastAsia="zh-CN" w:bidi="ar"/>
              </w:rPr>
              <w:t>道路内</w:t>
            </w:r>
            <w:r>
              <w:rPr>
                <w:rFonts w:hint="eastAsia" w:ascii="仿宋" w:hAnsi="仿宋" w:eastAsia="仿宋" w:cs="仿宋"/>
                <w:color w:val="000000"/>
                <w:kern w:val="0"/>
                <w:sz w:val="18"/>
                <w:szCs w:val="18"/>
                <w:lang w:val="en-US" w:eastAsia="zh-CN" w:bidi="ar"/>
              </w:rPr>
              <w:t>乱停乱放和扰乱骑行秩序等行为进行</w:t>
            </w:r>
            <w:r>
              <w:rPr>
                <w:rFonts w:hint="eastAsia" w:ascii="仿宋" w:hAnsi="仿宋" w:eastAsia="仿宋" w:cs="仿宋"/>
                <w:strike/>
                <w:dstrike w:val="0"/>
                <w:color w:val="000000"/>
                <w:kern w:val="0"/>
                <w:sz w:val="18"/>
                <w:szCs w:val="18"/>
                <w:lang w:val="en-US" w:eastAsia="zh-CN" w:bidi="ar"/>
              </w:rPr>
              <w:t>执法</w:t>
            </w:r>
            <w:r>
              <w:rPr>
                <w:rFonts w:hint="eastAsia" w:ascii="微软雅黑" w:hAnsi="微软雅黑" w:eastAsia="微软雅黑"/>
                <w:b/>
                <w:color w:val="000000"/>
                <w:kern w:val="0"/>
                <w:sz w:val="18"/>
                <w:lang w:val="en-US" w:eastAsia="zh-CN"/>
              </w:rPr>
              <w:t>查处</w:t>
            </w:r>
            <w:r>
              <w:rPr>
                <w:rFonts w:hint="eastAsia" w:ascii="仿宋" w:hAnsi="仿宋" w:eastAsia="仿宋" w:cs="仿宋"/>
                <w:color w:val="000000"/>
                <w:kern w:val="0"/>
                <w:sz w:val="18"/>
                <w:szCs w:val="18"/>
                <w:lang w:val="en-US" w:eastAsia="zh-CN" w:bidi="ar"/>
              </w:rPr>
              <w:t>。</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strike/>
                <w:dstrike w:val="0"/>
                <w:color w:val="000000"/>
                <w:kern w:val="0"/>
                <w:sz w:val="18"/>
                <w:szCs w:val="18"/>
                <w:lang w:val="en-US" w:eastAsia="zh-CN" w:bidi="ar"/>
              </w:rPr>
              <w:t>市城乡规划局</w:t>
            </w:r>
            <w:r>
              <w:rPr>
                <w:rFonts w:hint="eastAsia" w:ascii="微软雅黑" w:hAnsi="微软雅黑" w:eastAsia="微软雅黑"/>
                <w:b/>
                <w:color w:val="000000"/>
                <w:kern w:val="0"/>
                <w:sz w:val="18"/>
                <w:lang w:val="en-US" w:eastAsia="zh-CN"/>
              </w:rPr>
              <w:t>市自然资源局</w:t>
            </w:r>
            <w:r>
              <w:rPr>
                <w:rFonts w:hint="eastAsia" w:ascii="仿宋" w:hAnsi="仿宋" w:eastAsia="仿宋" w:cs="仿宋"/>
                <w:color w:val="000000"/>
                <w:kern w:val="0"/>
                <w:sz w:val="18"/>
                <w:szCs w:val="18"/>
                <w:lang w:val="en-US" w:eastAsia="zh-CN" w:bidi="ar"/>
              </w:rPr>
              <w:t>：</w:t>
            </w:r>
            <w:r>
              <w:rPr>
                <w:rFonts w:hint="eastAsia" w:ascii="仿宋" w:hAnsi="仿宋" w:eastAsia="仿宋" w:cs="仿宋"/>
                <w:color w:val="000000"/>
                <w:kern w:val="0"/>
                <w:sz w:val="18"/>
                <w:szCs w:val="18"/>
                <w:lang w:eastAsia="zh-CN" w:bidi="ar"/>
              </w:rPr>
              <w:t>结合新区、新城建设，对于新建、改建道路，开展非机动车道规划。</w:t>
            </w:r>
          </w:p>
          <w:p>
            <w:pPr>
              <w:spacing w:line="240" w:lineRule="auto"/>
              <w:ind w:firstLine="360" w:firstLineChars="200"/>
              <w:jc w:val="both"/>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市住房</w:t>
            </w:r>
            <w:r>
              <w:rPr>
                <w:rFonts w:hint="eastAsia" w:ascii="微软雅黑" w:hAnsi="微软雅黑" w:eastAsia="微软雅黑"/>
                <w:b/>
                <w:color w:val="000000"/>
                <w:kern w:val="0"/>
                <w:sz w:val="18"/>
                <w:lang w:val="en-US" w:eastAsia="zh-CN"/>
              </w:rPr>
              <w:t>和</w:t>
            </w:r>
            <w:r>
              <w:rPr>
                <w:rFonts w:hint="eastAsia" w:ascii="仿宋" w:hAnsi="仿宋" w:eastAsia="仿宋" w:cs="仿宋"/>
                <w:color w:val="000000"/>
                <w:kern w:val="0"/>
                <w:sz w:val="18"/>
                <w:szCs w:val="18"/>
                <w:lang w:val="en-US" w:eastAsia="zh-CN" w:bidi="ar"/>
              </w:rPr>
              <w:t>城乡建设局：</w:t>
            </w:r>
            <w:r>
              <w:rPr>
                <w:rFonts w:hint="eastAsia" w:ascii="仿宋" w:hAnsi="仿宋" w:eastAsia="仿宋" w:cs="仿宋"/>
                <w:color w:val="000000"/>
                <w:kern w:val="0"/>
                <w:sz w:val="18"/>
                <w:szCs w:val="18"/>
                <w:lang w:eastAsia="zh-CN" w:bidi="ar"/>
              </w:rPr>
              <w:t>负责职责范围内的</w:t>
            </w:r>
            <w:bookmarkStart w:id="0" w:name="_GoBack"/>
            <w:r>
              <w:rPr>
                <w:rFonts w:hint="eastAsia" w:ascii="仿宋" w:hAnsi="仿宋" w:eastAsia="仿宋" w:cs="仿宋"/>
                <w:strike/>
                <w:dstrike w:val="0"/>
                <w:color w:val="000000"/>
                <w:kern w:val="0"/>
                <w:sz w:val="18"/>
                <w:szCs w:val="18"/>
                <w:lang w:eastAsia="zh-CN" w:bidi="ar"/>
              </w:rPr>
              <w:t>主城区</w:t>
            </w:r>
            <w:bookmarkEnd w:id="0"/>
            <w:r>
              <w:rPr>
                <w:rFonts w:hint="eastAsia" w:ascii="微软雅黑" w:hAnsi="微软雅黑" w:eastAsia="微软雅黑"/>
                <w:b/>
                <w:color w:val="000000"/>
                <w:kern w:val="0"/>
                <w:sz w:val="18"/>
                <w:lang w:val="en-US" w:eastAsia="zh-CN"/>
              </w:rPr>
              <w:t>中心城区</w:t>
            </w:r>
            <w:r>
              <w:rPr>
                <w:rFonts w:hint="eastAsia" w:ascii="仿宋" w:hAnsi="仿宋" w:eastAsia="仿宋" w:cs="仿宋"/>
                <w:color w:val="000000"/>
                <w:kern w:val="0"/>
                <w:sz w:val="18"/>
                <w:szCs w:val="18"/>
                <w:lang w:eastAsia="zh-CN" w:bidi="ar"/>
              </w:rPr>
              <w:t>非机动车道、非机动车停放点建设，指导各镇</w:t>
            </w:r>
            <w:r>
              <w:rPr>
                <w:rFonts w:hint="eastAsia" w:ascii="仿宋" w:hAnsi="仿宋" w:eastAsia="仿宋" w:cs="仿宋"/>
                <w:strike/>
                <w:dstrike w:val="0"/>
                <w:color w:val="000000"/>
                <w:kern w:val="0"/>
                <w:sz w:val="18"/>
                <w:szCs w:val="18"/>
                <w:lang w:eastAsia="zh-CN" w:bidi="ar"/>
              </w:rPr>
              <w:t>区</w:t>
            </w:r>
            <w:r>
              <w:rPr>
                <w:rFonts w:hint="eastAsia" w:ascii="微软雅黑" w:hAnsi="微软雅黑" w:eastAsia="微软雅黑"/>
                <w:b/>
                <w:color w:val="000000"/>
                <w:kern w:val="0"/>
                <w:sz w:val="18"/>
                <w:lang w:val="en-US" w:eastAsia="zh-CN"/>
              </w:rPr>
              <w:t>街</w:t>
            </w:r>
            <w:r>
              <w:rPr>
                <w:rFonts w:hint="eastAsia" w:ascii="仿宋" w:hAnsi="仿宋" w:eastAsia="仿宋" w:cs="仿宋"/>
                <w:color w:val="000000"/>
                <w:kern w:val="0"/>
                <w:sz w:val="18"/>
                <w:szCs w:val="18"/>
                <w:lang w:eastAsia="zh-CN" w:bidi="ar"/>
              </w:rPr>
              <w:t>完善慢行交通设施建设。</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市</w:t>
            </w:r>
            <w:r>
              <w:rPr>
                <w:rFonts w:hint="eastAsia" w:ascii="微软雅黑" w:hAnsi="微软雅黑" w:eastAsia="微软雅黑"/>
                <w:b/>
                <w:color w:val="000000"/>
                <w:kern w:val="0"/>
                <w:sz w:val="18"/>
                <w:lang w:val="en-US" w:eastAsia="zh-CN"/>
              </w:rPr>
              <w:t>城市管理和综合</w:t>
            </w:r>
            <w:r>
              <w:rPr>
                <w:rFonts w:hint="eastAsia" w:ascii="仿宋" w:hAnsi="仿宋" w:eastAsia="仿宋" w:cs="仿宋"/>
                <w:color w:val="000000"/>
                <w:kern w:val="0"/>
                <w:sz w:val="18"/>
                <w:szCs w:val="18"/>
                <w:lang w:eastAsia="zh-CN" w:bidi="ar"/>
              </w:rPr>
              <w:t>执法局：依据相关法规和职能对共享自行车停放进行管理。</w:t>
            </w:r>
          </w:p>
          <w:p>
            <w:pPr>
              <w:spacing w:line="240" w:lineRule="auto"/>
              <w:ind w:firstLine="360" w:firstLineChars="200"/>
              <w:jc w:val="both"/>
              <w:rPr>
                <w:rFonts w:hint="eastAsia" w:ascii="微软雅黑" w:hAnsi="微软雅黑" w:eastAsia="微软雅黑"/>
                <w:b/>
                <w:strike/>
                <w:dstrike w:val="0"/>
                <w:color w:val="000000"/>
                <w:kern w:val="0"/>
                <w:sz w:val="18"/>
                <w:lang w:val="en-US" w:eastAsia="zh-CN"/>
              </w:rPr>
            </w:pPr>
            <w:r>
              <w:rPr>
                <w:rFonts w:hint="eastAsia" w:ascii="仿宋" w:hAnsi="仿宋" w:eastAsia="仿宋" w:cs="仿宋"/>
                <w:color w:val="000000"/>
                <w:kern w:val="0"/>
                <w:sz w:val="18"/>
                <w:szCs w:val="18"/>
                <w:lang w:eastAsia="zh-CN" w:bidi="ar"/>
              </w:rPr>
              <w:t>市发展改革局：</w:t>
            </w:r>
            <w:r>
              <w:rPr>
                <w:rFonts w:hint="eastAsia" w:ascii="微软雅黑" w:hAnsi="微软雅黑" w:eastAsia="微软雅黑"/>
                <w:b/>
                <w:color w:val="000000"/>
                <w:kern w:val="0"/>
                <w:sz w:val="18"/>
                <w:lang w:val="en-US" w:eastAsia="zh-CN"/>
              </w:rPr>
              <w:t>负责提供信用承诺书样式，并将国家下发的守信激励主体和严重失信主体名单，以及各部门报送的“双公示”信息和信用承诺信息</w:t>
            </w:r>
            <w:r>
              <w:rPr>
                <w:rFonts w:hint="eastAsia" w:ascii="仿宋" w:hAnsi="仿宋" w:eastAsia="仿宋" w:cs="仿宋"/>
                <w:color w:val="000000"/>
                <w:kern w:val="0"/>
                <w:sz w:val="18"/>
                <w:szCs w:val="18"/>
                <w:lang w:val="en-US" w:eastAsia="zh-CN" w:bidi="ar"/>
              </w:rPr>
              <w:t>在信用中山网上进行公示，</w:t>
            </w:r>
            <w:r>
              <w:rPr>
                <w:rFonts w:hint="eastAsia" w:ascii="微软雅黑" w:hAnsi="微软雅黑" w:eastAsia="微软雅黑"/>
                <w:b/>
                <w:color w:val="000000"/>
                <w:kern w:val="0"/>
                <w:sz w:val="18"/>
                <w:lang w:val="en-US" w:eastAsia="zh-CN"/>
              </w:rPr>
              <w:t>依法依规开展联合奖惩和信用监管工作。</w:t>
            </w:r>
            <w:r>
              <w:rPr>
                <w:rFonts w:hint="eastAsia" w:ascii="仿宋" w:hAnsi="仿宋" w:eastAsia="仿宋" w:cs="仿宋"/>
                <w:strike/>
                <w:dstrike w:val="0"/>
                <w:color w:val="000000"/>
                <w:kern w:val="0"/>
                <w:sz w:val="18"/>
                <w:szCs w:val="18"/>
                <w:lang w:eastAsia="zh-CN" w:bidi="ar"/>
              </w:rPr>
              <w:t>同时负责价格监管。</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中国人民银行中山市中心支行：依据《人民币银行结算账户管理办法》（中国人民银行令</w:t>
            </w:r>
            <w:r>
              <w:rPr>
                <w:rFonts w:hint="eastAsia" w:ascii="仿宋" w:hAnsi="仿宋" w:eastAsia="仿宋" w:cs="仿宋"/>
                <w:color w:val="000000"/>
                <w:kern w:val="0"/>
                <w:sz w:val="18"/>
                <w:szCs w:val="18"/>
                <w:lang w:val="en-US" w:eastAsia="zh-CN" w:bidi="ar"/>
              </w:rPr>
              <w:t>〔</w:t>
            </w:r>
            <w:r>
              <w:rPr>
                <w:rFonts w:hint="eastAsia" w:ascii="仿宋" w:hAnsi="仿宋" w:eastAsia="仿宋" w:cs="仿宋"/>
                <w:color w:val="000000"/>
                <w:kern w:val="0"/>
                <w:sz w:val="18"/>
                <w:szCs w:val="18"/>
                <w:lang w:eastAsia="zh-CN" w:bidi="ar"/>
              </w:rPr>
              <w:t>2003</w:t>
            </w:r>
            <w:r>
              <w:rPr>
                <w:rFonts w:hint="eastAsia" w:ascii="仿宋" w:hAnsi="仿宋" w:eastAsia="仿宋" w:cs="仿宋"/>
                <w:color w:val="000000"/>
                <w:kern w:val="0"/>
                <w:sz w:val="18"/>
                <w:szCs w:val="18"/>
                <w:lang w:val="en-US" w:eastAsia="zh-CN" w:bidi="ar"/>
              </w:rPr>
              <w:t>〕</w:t>
            </w:r>
            <w:r>
              <w:rPr>
                <w:rFonts w:hint="eastAsia" w:ascii="仿宋" w:hAnsi="仿宋" w:eastAsia="仿宋" w:cs="仿宋"/>
                <w:color w:val="000000"/>
                <w:kern w:val="0"/>
                <w:sz w:val="18"/>
                <w:szCs w:val="18"/>
                <w:lang w:eastAsia="zh-CN" w:bidi="ar"/>
              </w:rPr>
              <w:t>第5号）的相关规定</w:t>
            </w:r>
            <w:r>
              <w:rPr>
                <w:rFonts w:hint="eastAsia" w:ascii="仿宋" w:hAnsi="仿宋" w:eastAsia="仿宋" w:cs="仿宋"/>
                <w:color w:val="000000"/>
                <w:kern w:val="0"/>
                <w:sz w:val="18"/>
                <w:szCs w:val="18"/>
                <w:lang w:val="en-US" w:eastAsia="zh-CN" w:bidi="ar"/>
              </w:rPr>
              <w:t>，</w:t>
            </w:r>
            <w:r>
              <w:rPr>
                <w:rFonts w:hint="eastAsia" w:ascii="仿宋" w:hAnsi="仿宋" w:eastAsia="仿宋" w:cs="仿宋"/>
                <w:color w:val="000000"/>
                <w:kern w:val="0"/>
                <w:sz w:val="18"/>
                <w:szCs w:val="18"/>
                <w:lang w:eastAsia="zh-CN" w:bidi="ar"/>
              </w:rPr>
              <w:t>对共享自行车押金账户实施监管。</w:t>
            </w:r>
          </w:p>
          <w:p>
            <w:pPr>
              <w:spacing w:line="240" w:lineRule="auto"/>
              <w:ind w:firstLine="360" w:firstLineChars="200"/>
              <w:jc w:val="both"/>
              <w:rPr>
                <w:rFonts w:hint="eastAsia" w:ascii="微软雅黑" w:hAnsi="微软雅黑" w:eastAsia="微软雅黑"/>
                <w:b/>
                <w:color w:val="000000"/>
                <w:kern w:val="0"/>
                <w:sz w:val="18"/>
                <w:lang w:val="en-US" w:eastAsia="zh-CN"/>
              </w:rPr>
            </w:pPr>
            <w:r>
              <w:rPr>
                <w:rFonts w:hint="eastAsia" w:ascii="微软雅黑" w:hAnsi="微软雅黑" w:eastAsia="微软雅黑"/>
                <w:b/>
                <w:color w:val="000000"/>
                <w:kern w:val="0"/>
                <w:sz w:val="18"/>
                <w:lang w:val="en-US" w:eastAsia="zh-CN"/>
              </w:rPr>
              <w:t>市市场监督管理局、工业和信息化局、文化广电旅游局、水务局依照各自职责做好共享自行车的管理工作。</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各镇</w:t>
            </w:r>
            <w:r>
              <w:rPr>
                <w:rFonts w:hint="eastAsia" w:ascii="仿宋" w:hAnsi="仿宋" w:eastAsia="仿宋" w:cs="仿宋"/>
                <w:strike/>
                <w:dstrike w:val="0"/>
                <w:color w:val="000000"/>
                <w:kern w:val="0"/>
                <w:sz w:val="18"/>
                <w:szCs w:val="18"/>
                <w:lang w:eastAsia="zh-CN" w:bidi="ar"/>
              </w:rPr>
              <w:t>区</w:t>
            </w:r>
            <w:r>
              <w:rPr>
                <w:rFonts w:hint="eastAsia" w:ascii="微软雅黑" w:hAnsi="微软雅黑" w:eastAsia="微软雅黑"/>
                <w:b/>
                <w:color w:val="000000"/>
                <w:kern w:val="0"/>
                <w:sz w:val="18"/>
                <w:lang w:val="en-US" w:eastAsia="zh-CN"/>
              </w:rPr>
              <w:t>街</w:t>
            </w:r>
            <w:r>
              <w:rPr>
                <w:rFonts w:hint="eastAsia" w:ascii="仿宋" w:hAnsi="仿宋" w:eastAsia="仿宋" w:cs="仿宋"/>
                <w:color w:val="000000"/>
                <w:kern w:val="0"/>
                <w:sz w:val="18"/>
                <w:szCs w:val="18"/>
                <w:lang w:eastAsia="zh-CN" w:bidi="ar"/>
              </w:rPr>
              <w:t>：</w:t>
            </w:r>
            <w:r>
              <w:rPr>
                <w:rFonts w:hint="eastAsia" w:ascii="微软雅黑" w:hAnsi="微软雅黑" w:eastAsia="微软雅黑"/>
                <w:b/>
                <w:color w:val="000000"/>
                <w:kern w:val="0"/>
                <w:sz w:val="18"/>
                <w:lang w:val="en-US" w:eastAsia="zh-CN"/>
              </w:rPr>
              <w:t>除石歧街道、东区街道、南区街道、西区街道五桂山街道外，其余各镇街负责制定和组织实施辖区共享自行车的运营配额投放计划及招投标工作，并定期组织开展对运营配额经营者的服务质量信誉考核工作。</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各镇</w:t>
            </w:r>
            <w:r>
              <w:rPr>
                <w:rFonts w:hint="eastAsia" w:ascii="仿宋" w:hAnsi="仿宋" w:eastAsia="仿宋" w:cs="仿宋"/>
                <w:strike/>
                <w:dstrike w:val="0"/>
                <w:color w:val="000000"/>
                <w:kern w:val="0"/>
                <w:sz w:val="18"/>
                <w:szCs w:val="18"/>
                <w:lang w:eastAsia="zh-CN" w:bidi="ar"/>
              </w:rPr>
              <w:t>区</w:t>
            </w:r>
            <w:r>
              <w:rPr>
                <w:rFonts w:hint="eastAsia" w:ascii="微软雅黑" w:hAnsi="微软雅黑" w:eastAsia="微软雅黑"/>
                <w:b/>
                <w:color w:val="000000"/>
                <w:kern w:val="0"/>
                <w:sz w:val="18"/>
                <w:lang w:val="en-US" w:eastAsia="zh-CN"/>
              </w:rPr>
              <w:t>街</w:t>
            </w:r>
            <w:r>
              <w:rPr>
                <w:rFonts w:hint="eastAsia" w:ascii="仿宋" w:hAnsi="仿宋" w:eastAsia="仿宋" w:cs="仿宋"/>
                <w:color w:val="000000"/>
                <w:kern w:val="0"/>
                <w:sz w:val="18"/>
                <w:szCs w:val="18"/>
                <w:lang w:eastAsia="zh-CN" w:bidi="ar"/>
              </w:rPr>
              <w:t>负责辖区范围内共享自行车发展的具体管理工作，按职责范围建设辖区内非机动车道、非机动车停放点等慢行交通设施，动态监测辖区车辆投放情况，对辖区停放车辆总量进行控制，做好非机动车停放点的日常管理和违法骑行、违规停放的执法管理，并对经营者服务实施监督管理。</w:t>
            </w:r>
          </w:p>
          <w:p>
            <w:pPr>
              <w:spacing w:line="240" w:lineRule="auto"/>
              <w:ind w:firstLine="360" w:firstLineChars="200"/>
              <w:jc w:val="both"/>
              <w:rPr>
                <w:rFonts w:hint="eastAsia" w:ascii="仿宋" w:hAnsi="仿宋" w:eastAsia="仿宋" w:cs="仿宋"/>
                <w:color w:val="000000"/>
                <w:kern w:val="0"/>
                <w:sz w:val="18"/>
                <w:szCs w:val="18"/>
                <w:lang w:eastAsia="zh-CN" w:bidi="ar"/>
              </w:rPr>
            </w:pPr>
            <w:r>
              <w:rPr>
                <w:rFonts w:hint="eastAsia" w:ascii="微软雅黑" w:hAnsi="微软雅黑" w:eastAsia="微软雅黑"/>
                <w:b/>
                <w:color w:val="000000"/>
                <w:kern w:val="0"/>
                <w:sz w:val="18"/>
                <w:lang w:val="en-US" w:eastAsia="zh-CN"/>
              </w:rPr>
              <w:t>各镇街应对未经备案擅自投放的共享自行车、共享电动自行车予以清理，存在违规行为的依法予以处理。</w:t>
            </w:r>
          </w:p>
        </w:tc>
        <w:tc>
          <w:tcPr>
            <w:tcW w:w="3769" w:type="dxa"/>
            <w:vAlign w:val="center"/>
          </w:tcPr>
          <w:p>
            <w:pPr>
              <w:numPr>
                <w:ilvl w:val="0"/>
                <w:numId w:val="3"/>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增加了市交通运输部门“负责制定和组织实施中心城区共享自行车的运营配额投放计划及招投标工作；建立第三方监管平台”工作职责内容；</w:t>
            </w:r>
          </w:p>
          <w:p>
            <w:pPr>
              <w:numPr>
                <w:ilvl w:val="0"/>
                <w:numId w:val="3"/>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因共享自行车管理还涉及到其他相关部门工作职责，因此增加了“市市场监督管理局、工业和信息化局、文化广电旅游局、水务局依照各自职责做好共享自行车的管理工作。”</w:t>
            </w:r>
          </w:p>
          <w:p>
            <w:pPr>
              <w:numPr>
                <w:ilvl w:val="0"/>
                <w:numId w:val="3"/>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镇街部分在共享自行车管理方面的职责增加了相关内容：一是明确了除中心城区外，其余各镇街负责制定和组织实施辖区共享自行车的运营配额投放计划及招投标工作，并定期组织开展对运营配额经营者的服务质量信誉考核工作。</w:t>
            </w:r>
          </w:p>
          <w:p>
            <w:pPr>
              <w:numPr>
                <w:ilvl w:val="0"/>
                <w:numId w:val="3"/>
              </w:numPr>
              <w:spacing w:line="240" w:lineRule="auto"/>
              <w:ind w:firstLine="360" w:firstLineChars="20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为维护正常的市场秩序和干净整洁的城市环境，明确了由各镇街对未经备案擅自投放的共享自行车、共享电动自行车予以清理，存在违规行为的依法予以处理。</w:t>
            </w:r>
          </w:p>
          <w:p>
            <w:pPr>
              <w:numPr>
                <w:ilvl w:val="0"/>
                <w:numId w:val="0"/>
              </w:numPr>
              <w:spacing w:line="240" w:lineRule="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12" w:hRule="atLeast"/>
          <w:jc w:val="center"/>
        </w:trPr>
        <w:tc>
          <w:tcPr>
            <w:tcW w:w="633" w:type="dxa"/>
            <w:vAlign w:val="center"/>
          </w:tcPr>
          <w:p>
            <w:pPr>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14</w:t>
            </w:r>
          </w:p>
        </w:tc>
        <w:tc>
          <w:tcPr>
            <w:tcW w:w="850" w:type="dxa"/>
            <w:vAlign w:val="center"/>
          </w:tcPr>
          <w:p>
            <w:pPr>
              <w:spacing w:line="240" w:lineRule="auto"/>
              <w:jc w:val="center"/>
              <w:rPr>
                <w:rFonts w:hint="eastAsia" w:ascii="仿宋_GB2312" w:eastAsia="仿宋_GB2312"/>
                <w:sz w:val="24"/>
                <w:lang w:eastAsia="zh-CN"/>
              </w:rPr>
            </w:pPr>
            <w:r>
              <w:rPr>
                <w:rFonts w:hint="eastAsia" w:ascii="黑体" w:hAnsi="黑体" w:eastAsia="黑体" w:cs="黑体"/>
                <w:sz w:val="24"/>
                <w:lang w:eastAsia="zh-CN"/>
              </w:rPr>
              <w:t>八、九</w:t>
            </w:r>
          </w:p>
        </w:tc>
        <w:tc>
          <w:tcPr>
            <w:tcW w:w="3391" w:type="dxa"/>
            <w:vAlign w:val="center"/>
          </w:tcPr>
          <w:p>
            <w:pPr>
              <w:spacing w:line="240" w:lineRule="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  </w:t>
            </w:r>
            <w:r>
              <w:rPr>
                <w:rFonts w:hint="eastAsia" w:ascii="宋体" w:hAnsi="宋体" w:eastAsia="宋体" w:cs="宋体"/>
                <w:color w:val="000000"/>
                <w:kern w:val="0"/>
                <w:sz w:val="18"/>
                <w:szCs w:val="18"/>
                <w:lang w:val="en-US" w:eastAsia="zh-CN" w:bidi="ar"/>
              </w:rPr>
              <w:t>原文第六、第七点调整至第八、第九点。</w:t>
            </w:r>
          </w:p>
        </w:tc>
        <w:tc>
          <w:tcPr>
            <w:tcW w:w="4925" w:type="dxa"/>
            <w:vAlign w:val="center"/>
          </w:tcPr>
          <w:p>
            <w:pPr>
              <w:spacing w:line="240" w:lineRule="auto"/>
              <w:ind w:firstLine="360" w:firstLineChars="200"/>
              <w:jc w:val="both"/>
              <w:textAlignment w:val="center"/>
              <w:rPr>
                <w:rFonts w:hint="eastAsia" w:ascii="仿宋" w:hAnsi="仿宋" w:eastAsia="仿宋" w:cs="仿宋"/>
                <w:color w:val="000000"/>
                <w:kern w:val="0"/>
                <w:sz w:val="18"/>
                <w:szCs w:val="18"/>
                <w:lang w:eastAsia="zh-CN" w:bidi="ar"/>
              </w:rPr>
            </w:pPr>
            <w:r>
              <w:rPr>
                <w:rFonts w:hint="eastAsia" w:ascii="宋体" w:hAnsi="宋体" w:eastAsia="宋体" w:cs="宋体"/>
                <w:color w:val="000000"/>
                <w:kern w:val="0"/>
                <w:sz w:val="18"/>
                <w:szCs w:val="18"/>
                <w:lang w:val="en-US" w:eastAsia="zh-CN" w:bidi="ar"/>
              </w:rPr>
              <w:t>内容不变</w:t>
            </w:r>
            <w:r>
              <w:rPr>
                <w:rFonts w:hint="eastAsia" w:ascii="宋体" w:hAnsi="宋体" w:cs="宋体"/>
                <w:color w:val="000000"/>
                <w:kern w:val="0"/>
                <w:sz w:val="18"/>
                <w:szCs w:val="18"/>
                <w:lang w:val="en-US" w:eastAsia="zh-CN" w:bidi="ar"/>
              </w:rPr>
              <w:t>。</w:t>
            </w:r>
          </w:p>
        </w:tc>
        <w:tc>
          <w:tcPr>
            <w:tcW w:w="3769" w:type="dxa"/>
            <w:vAlign w:val="center"/>
          </w:tcPr>
          <w:p>
            <w:pPr>
              <w:spacing w:line="240" w:lineRule="auto"/>
              <w:ind w:firstLine="360" w:firstLineChars="200"/>
              <w:rPr>
                <w:rFonts w:hint="eastAsia" w:ascii="仿宋" w:hAnsi="仿宋" w:eastAsia="仿宋" w:cs="仿宋"/>
                <w:color w:val="000000"/>
                <w:kern w:val="0"/>
                <w:sz w:val="18"/>
                <w:szCs w:val="18"/>
                <w:lang w:eastAsia="zh-CN" w:bidi="ar"/>
              </w:rPr>
            </w:pPr>
          </w:p>
        </w:tc>
      </w:tr>
    </w:tbl>
    <w:p>
      <w:pPr>
        <w:snapToGrid w:val="0"/>
        <w:spacing w:line="240" w:lineRule="auto"/>
        <w:rPr>
          <w:sz w:val="2"/>
          <w:szCs w:val="6"/>
        </w:rPr>
      </w:pPr>
    </w:p>
    <w:sectPr>
      <w:footerReference r:id="rId5" w:type="default"/>
      <w:pgSz w:w="16838" w:h="11906" w:orient="landscape"/>
      <w:pgMar w:top="1531" w:right="1417" w:bottom="1531"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7B1B7"/>
    <w:multiLevelType w:val="singleLevel"/>
    <w:tmpl w:val="6267B1B7"/>
    <w:lvl w:ilvl="0" w:tentative="0">
      <w:start w:val="1"/>
      <w:numFmt w:val="decimal"/>
      <w:suff w:val="nothing"/>
      <w:lvlText w:val="%1."/>
      <w:lvlJc w:val="left"/>
    </w:lvl>
  </w:abstractNum>
  <w:abstractNum w:abstractNumId="1">
    <w:nsid w:val="6267B355"/>
    <w:multiLevelType w:val="singleLevel"/>
    <w:tmpl w:val="6267B355"/>
    <w:lvl w:ilvl="0" w:tentative="0">
      <w:start w:val="1"/>
      <w:numFmt w:val="decimal"/>
      <w:suff w:val="nothing"/>
      <w:lvlText w:val="%1."/>
      <w:lvlJc w:val="left"/>
    </w:lvl>
  </w:abstractNum>
  <w:abstractNum w:abstractNumId="2">
    <w:nsid w:val="6267B513"/>
    <w:multiLevelType w:val="singleLevel"/>
    <w:tmpl w:val="6267B51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78"/>
    <w:rsid w:val="00003ED8"/>
    <w:rsid w:val="00006554"/>
    <w:rsid w:val="00010AB5"/>
    <w:rsid w:val="00012EB6"/>
    <w:rsid w:val="00020DDF"/>
    <w:rsid w:val="000275DE"/>
    <w:rsid w:val="00032C6E"/>
    <w:rsid w:val="0004009B"/>
    <w:rsid w:val="000427CC"/>
    <w:rsid w:val="000556ED"/>
    <w:rsid w:val="000578A8"/>
    <w:rsid w:val="00061707"/>
    <w:rsid w:val="00063F36"/>
    <w:rsid w:val="000676C7"/>
    <w:rsid w:val="00067FCE"/>
    <w:rsid w:val="00090CC5"/>
    <w:rsid w:val="000B1A45"/>
    <w:rsid w:val="000B6F02"/>
    <w:rsid w:val="000C29FF"/>
    <w:rsid w:val="000C4435"/>
    <w:rsid w:val="000E179D"/>
    <w:rsid w:val="000F528D"/>
    <w:rsid w:val="00125D5D"/>
    <w:rsid w:val="00160FDE"/>
    <w:rsid w:val="00172A27"/>
    <w:rsid w:val="0019187C"/>
    <w:rsid w:val="00196273"/>
    <w:rsid w:val="001C1952"/>
    <w:rsid w:val="001C3E89"/>
    <w:rsid w:val="001D2E61"/>
    <w:rsid w:val="001E3EF4"/>
    <w:rsid w:val="001F4379"/>
    <w:rsid w:val="001F591B"/>
    <w:rsid w:val="00204DC7"/>
    <w:rsid w:val="0021038B"/>
    <w:rsid w:val="0022315B"/>
    <w:rsid w:val="00226FC0"/>
    <w:rsid w:val="0023066C"/>
    <w:rsid w:val="00230988"/>
    <w:rsid w:val="002327B7"/>
    <w:rsid w:val="002346E2"/>
    <w:rsid w:val="002363FE"/>
    <w:rsid w:val="00236C66"/>
    <w:rsid w:val="00243F45"/>
    <w:rsid w:val="00246DE9"/>
    <w:rsid w:val="00247FF5"/>
    <w:rsid w:val="00255910"/>
    <w:rsid w:val="002577BF"/>
    <w:rsid w:val="002847E9"/>
    <w:rsid w:val="002964C3"/>
    <w:rsid w:val="002A3FEC"/>
    <w:rsid w:val="002C36F7"/>
    <w:rsid w:val="002C54F7"/>
    <w:rsid w:val="002D1D39"/>
    <w:rsid w:val="002D2C12"/>
    <w:rsid w:val="002D5B2E"/>
    <w:rsid w:val="002E2A09"/>
    <w:rsid w:val="002E71E3"/>
    <w:rsid w:val="002F458E"/>
    <w:rsid w:val="00341615"/>
    <w:rsid w:val="00341D1E"/>
    <w:rsid w:val="00370EA6"/>
    <w:rsid w:val="00372BEF"/>
    <w:rsid w:val="0038083F"/>
    <w:rsid w:val="003836EB"/>
    <w:rsid w:val="00387960"/>
    <w:rsid w:val="0039169C"/>
    <w:rsid w:val="0039439E"/>
    <w:rsid w:val="003A6E98"/>
    <w:rsid w:val="003A73E2"/>
    <w:rsid w:val="003D09FF"/>
    <w:rsid w:val="003D4B54"/>
    <w:rsid w:val="003E2B39"/>
    <w:rsid w:val="003E5082"/>
    <w:rsid w:val="00401292"/>
    <w:rsid w:val="00405802"/>
    <w:rsid w:val="00427BE2"/>
    <w:rsid w:val="00434622"/>
    <w:rsid w:val="00435952"/>
    <w:rsid w:val="00441D58"/>
    <w:rsid w:val="00454404"/>
    <w:rsid w:val="00454741"/>
    <w:rsid w:val="00460B75"/>
    <w:rsid w:val="0046262D"/>
    <w:rsid w:val="00465676"/>
    <w:rsid w:val="00467A33"/>
    <w:rsid w:val="00475E06"/>
    <w:rsid w:val="00486CCE"/>
    <w:rsid w:val="00494955"/>
    <w:rsid w:val="0049791E"/>
    <w:rsid w:val="004A02FE"/>
    <w:rsid w:val="004A3E2D"/>
    <w:rsid w:val="004A49EE"/>
    <w:rsid w:val="004B32EA"/>
    <w:rsid w:val="004E3F03"/>
    <w:rsid w:val="004E5CAA"/>
    <w:rsid w:val="004F0A4F"/>
    <w:rsid w:val="004F37C2"/>
    <w:rsid w:val="004F5EF4"/>
    <w:rsid w:val="00502756"/>
    <w:rsid w:val="00502F0B"/>
    <w:rsid w:val="00513613"/>
    <w:rsid w:val="00523432"/>
    <w:rsid w:val="00525719"/>
    <w:rsid w:val="00531B47"/>
    <w:rsid w:val="005327B5"/>
    <w:rsid w:val="0054422B"/>
    <w:rsid w:val="00550C42"/>
    <w:rsid w:val="005576DB"/>
    <w:rsid w:val="00557BD0"/>
    <w:rsid w:val="005718E5"/>
    <w:rsid w:val="0057200C"/>
    <w:rsid w:val="00574E20"/>
    <w:rsid w:val="00581E50"/>
    <w:rsid w:val="00585B61"/>
    <w:rsid w:val="00595C74"/>
    <w:rsid w:val="005A242E"/>
    <w:rsid w:val="005A7772"/>
    <w:rsid w:val="005C0135"/>
    <w:rsid w:val="005C0AF1"/>
    <w:rsid w:val="005C3306"/>
    <w:rsid w:val="005C6BBC"/>
    <w:rsid w:val="005D50AB"/>
    <w:rsid w:val="005F08AB"/>
    <w:rsid w:val="006027B9"/>
    <w:rsid w:val="00614D47"/>
    <w:rsid w:val="00615DF7"/>
    <w:rsid w:val="00620574"/>
    <w:rsid w:val="00626733"/>
    <w:rsid w:val="0063286A"/>
    <w:rsid w:val="00633F96"/>
    <w:rsid w:val="0065231E"/>
    <w:rsid w:val="006649D7"/>
    <w:rsid w:val="006679AF"/>
    <w:rsid w:val="00670703"/>
    <w:rsid w:val="006807F7"/>
    <w:rsid w:val="006A126A"/>
    <w:rsid w:val="006A1B57"/>
    <w:rsid w:val="006A758E"/>
    <w:rsid w:val="00702A90"/>
    <w:rsid w:val="00713532"/>
    <w:rsid w:val="00723F13"/>
    <w:rsid w:val="007622D8"/>
    <w:rsid w:val="00765749"/>
    <w:rsid w:val="00766EEC"/>
    <w:rsid w:val="00773845"/>
    <w:rsid w:val="00777988"/>
    <w:rsid w:val="007851DE"/>
    <w:rsid w:val="00787B48"/>
    <w:rsid w:val="007B262F"/>
    <w:rsid w:val="007C2EC1"/>
    <w:rsid w:val="007C56D5"/>
    <w:rsid w:val="007D346C"/>
    <w:rsid w:val="007D3E8A"/>
    <w:rsid w:val="00806A88"/>
    <w:rsid w:val="0081462D"/>
    <w:rsid w:val="00820061"/>
    <w:rsid w:val="008271B0"/>
    <w:rsid w:val="00837B1E"/>
    <w:rsid w:val="00842CA7"/>
    <w:rsid w:val="0084402C"/>
    <w:rsid w:val="0086090A"/>
    <w:rsid w:val="00861182"/>
    <w:rsid w:val="00894981"/>
    <w:rsid w:val="008C3160"/>
    <w:rsid w:val="008C5439"/>
    <w:rsid w:val="008D4CA6"/>
    <w:rsid w:val="008E2DC7"/>
    <w:rsid w:val="008F5806"/>
    <w:rsid w:val="0091705B"/>
    <w:rsid w:val="00926A4E"/>
    <w:rsid w:val="009277CC"/>
    <w:rsid w:val="00956D6E"/>
    <w:rsid w:val="00960328"/>
    <w:rsid w:val="00964991"/>
    <w:rsid w:val="0098147D"/>
    <w:rsid w:val="00987825"/>
    <w:rsid w:val="009A3143"/>
    <w:rsid w:val="009B4676"/>
    <w:rsid w:val="009E756F"/>
    <w:rsid w:val="00A01E5B"/>
    <w:rsid w:val="00A159E1"/>
    <w:rsid w:val="00A256DD"/>
    <w:rsid w:val="00A40C73"/>
    <w:rsid w:val="00A53912"/>
    <w:rsid w:val="00A61B13"/>
    <w:rsid w:val="00A66689"/>
    <w:rsid w:val="00AA281A"/>
    <w:rsid w:val="00AB2726"/>
    <w:rsid w:val="00AB6EDC"/>
    <w:rsid w:val="00AC28FC"/>
    <w:rsid w:val="00AE0704"/>
    <w:rsid w:val="00AE7134"/>
    <w:rsid w:val="00AE7BC6"/>
    <w:rsid w:val="00AF0460"/>
    <w:rsid w:val="00AF2E61"/>
    <w:rsid w:val="00AF3F58"/>
    <w:rsid w:val="00B06735"/>
    <w:rsid w:val="00B1298E"/>
    <w:rsid w:val="00B1635B"/>
    <w:rsid w:val="00B168A4"/>
    <w:rsid w:val="00B176F1"/>
    <w:rsid w:val="00B201C5"/>
    <w:rsid w:val="00B2328E"/>
    <w:rsid w:val="00B23F04"/>
    <w:rsid w:val="00B36715"/>
    <w:rsid w:val="00B45B75"/>
    <w:rsid w:val="00B60332"/>
    <w:rsid w:val="00B62B20"/>
    <w:rsid w:val="00B6562B"/>
    <w:rsid w:val="00B70DAC"/>
    <w:rsid w:val="00B82499"/>
    <w:rsid w:val="00B92000"/>
    <w:rsid w:val="00BA0753"/>
    <w:rsid w:val="00BA0B8E"/>
    <w:rsid w:val="00BA1F33"/>
    <w:rsid w:val="00BB224E"/>
    <w:rsid w:val="00C04B29"/>
    <w:rsid w:val="00C119F8"/>
    <w:rsid w:val="00C225F2"/>
    <w:rsid w:val="00C34976"/>
    <w:rsid w:val="00C54EB8"/>
    <w:rsid w:val="00C656E1"/>
    <w:rsid w:val="00C671BF"/>
    <w:rsid w:val="00C710CD"/>
    <w:rsid w:val="00C86A6C"/>
    <w:rsid w:val="00C92CE3"/>
    <w:rsid w:val="00CA2B55"/>
    <w:rsid w:val="00CA69E5"/>
    <w:rsid w:val="00CB7B0C"/>
    <w:rsid w:val="00CB7B77"/>
    <w:rsid w:val="00CC7BCB"/>
    <w:rsid w:val="00CD1053"/>
    <w:rsid w:val="00CD1ECD"/>
    <w:rsid w:val="00CD35EC"/>
    <w:rsid w:val="00CD3618"/>
    <w:rsid w:val="00CD3C5A"/>
    <w:rsid w:val="00CE6CC4"/>
    <w:rsid w:val="00CF2DAB"/>
    <w:rsid w:val="00CF4B26"/>
    <w:rsid w:val="00D03E25"/>
    <w:rsid w:val="00D20E4E"/>
    <w:rsid w:val="00D35A98"/>
    <w:rsid w:val="00D720CD"/>
    <w:rsid w:val="00D77DC2"/>
    <w:rsid w:val="00D8273F"/>
    <w:rsid w:val="00D8495D"/>
    <w:rsid w:val="00DA1E49"/>
    <w:rsid w:val="00DA205B"/>
    <w:rsid w:val="00DB0A29"/>
    <w:rsid w:val="00DC74A2"/>
    <w:rsid w:val="00DD737E"/>
    <w:rsid w:val="00DF327B"/>
    <w:rsid w:val="00E149B0"/>
    <w:rsid w:val="00E22429"/>
    <w:rsid w:val="00E3247B"/>
    <w:rsid w:val="00E37DD5"/>
    <w:rsid w:val="00E464A6"/>
    <w:rsid w:val="00E56CDE"/>
    <w:rsid w:val="00E5742E"/>
    <w:rsid w:val="00E633B1"/>
    <w:rsid w:val="00E6721D"/>
    <w:rsid w:val="00E709BB"/>
    <w:rsid w:val="00E71F48"/>
    <w:rsid w:val="00E769DC"/>
    <w:rsid w:val="00E81246"/>
    <w:rsid w:val="00E876C4"/>
    <w:rsid w:val="00E93BC1"/>
    <w:rsid w:val="00EA740F"/>
    <w:rsid w:val="00EB2C99"/>
    <w:rsid w:val="00EC0199"/>
    <w:rsid w:val="00ED206F"/>
    <w:rsid w:val="00ED6820"/>
    <w:rsid w:val="00ED79E7"/>
    <w:rsid w:val="00EE0815"/>
    <w:rsid w:val="00EF041A"/>
    <w:rsid w:val="00EF51C1"/>
    <w:rsid w:val="00F01F27"/>
    <w:rsid w:val="00F15AD6"/>
    <w:rsid w:val="00F26D91"/>
    <w:rsid w:val="00F34C7A"/>
    <w:rsid w:val="00F40845"/>
    <w:rsid w:val="00F54415"/>
    <w:rsid w:val="00F71238"/>
    <w:rsid w:val="00F7419E"/>
    <w:rsid w:val="00F86F45"/>
    <w:rsid w:val="00F92D06"/>
    <w:rsid w:val="00F97E3F"/>
    <w:rsid w:val="00FA2DB9"/>
    <w:rsid w:val="00FA4179"/>
    <w:rsid w:val="00FB599F"/>
    <w:rsid w:val="00FC4F16"/>
    <w:rsid w:val="00FE53DB"/>
    <w:rsid w:val="00FF1F97"/>
    <w:rsid w:val="00FF2E61"/>
    <w:rsid w:val="04AF40A4"/>
    <w:rsid w:val="074E73E8"/>
    <w:rsid w:val="0A2E2CA2"/>
    <w:rsid w:val="0A326D65"/>
    <w:rsid w:val="0A395ABA"/>
    <w:rsid w:val="0B8B5C0E"/>
    <w:rsid w:val="0B8B5C93"/>
    <w:rsid w:val="0CE95E91"/>
    <w:rsid w:val="0E5F1605"/>
    <w:rsid w:val="13AF7C2D"/>
    <w:rsid w:val="14B86FBF"/>
    <w:rsid w:val="17604A7A"/>
    <w:rsid w:val="193D30F1"/>
    <w:rsid w:val="19D03F54"/>
    <w:rsid w:val="1FB14F5F"/>
    <w:rsid w:val="20474254"/>
    <w:rsid w:val="218C2785"/>
    <w:rsid w:val="25472123"/>
    <w:rsid w:val="25B46BED"/>
    <w:rsid w:val="2A32392A"/>
    <w:rsid w:val="2B9C09D6"/>
    <w:rsid w:val="2BAC67BB"/>
    <w:rsid w:val="2EAA5024"/>
    <w:rsid w:val="2EB2247A"/>
    <w:rsid w:val="2ECD7ABA"/>
    <w:rsid w:val="314064A5"/>
    <w:rsid w:val="33DF1206"/>
    <w:rsid w:val="34436227"/>
    <w:rsid w:val="34842ECA"/>
    <w:rsid w:val="34EE5230"/>
    <w:rsid w:val="35146D31"/>
    <w:rsid w:val="37762593"/>
    <w:rsid w:val="38AA5E44"/>
    <w:rsid w:val="3964367E"/>
    <w:rsid w:val="398563AE"/>
    <w:rsid w:val="3A6360F3"/>
    <w:rsid w:val="3B62012B"/>
    <w:rsid w:val="3B911416"/>
    <w:rsid w:val="3ED834C1"/>
    <w:rsid w:val="420443F2"/>
    <w:rsid w:val="42153984"/>
    <w:rsid w:val="439445D8"/>
    <w:rsid w:val="45EE0FFB"/>
    <w:rsid w:val="461043E8"/>
    <w:rsid w:val="46E84EEB"/>
    <w:rsid w:val="49660609"/>
    <w:rsid w:val="49AF77DC"/>
    <w:rsid w:val="4A2B2FA7"/>
    <w:rsid w:val="4A87158C"/>
    <w:rsid w:val="4AF12BCB"/>
    <w:rsid w:val="4B861A29"/>
    <w:rsid w:val="4C864D2B"/>
    <w:rsid w:val="4D232720"/>
    <w:rsid w:val="4F8012BB"/>
    <w:rsid w:val="4FC4338D"/>
    <w:rsid w:val="51C11286"/>
    <w:rsid w:val="52E93521"/>
    <w:rsid w:val="55BA286C"/>
    <w:rsid w:val="5A6C53FA"/>
    <w:rsid w:val="5A87068D"/>
    <w:rsid w:val="5CA86B36"/>
    <w:rsid w:val="5F1D38AD"/>
    <w:rsid w:val="5F715BCC"/>
    <w:rsid w:val="601A4958"/>
    <w:rsid w:val="61AB10C6"/>
    <w:rsid w:val="64041BF4"/>
    <w:rsid w:val="65D54BD0"/>
    <w:rsid w:val="66206786"/>
    <w:rsid w:val="66A36CD9"/>
    <w:rsid w:val="6CFD601A"/>
    <w:rsid w:val="6F885FED"/>
    <w:rsid w:val="6F9A78E1"/>
    <w:rsid w:val="6FA6177B"/>
    <w:rsid w:val="6FC4296D"/>
    <w:rsid w:val="7059792C"/>
    <w:rsid w:val="714141F5"/>
    <w:rsid w:val="73BD4CBE"/>
    <w:rsid w:val="743E344B"/>
    <w:rsid w:val="75132192"/>
    <w:rsid w:val="76BB0A5D"/>
    <w:rsid w:val="782626C0"/>
    <w:rsid w:val="78711BD2"/>
    <w:rsid w:val="790D2E99"/>
    <w:rsid w:val="79537BA0"/>
    <w:rsid w:val="7C081BFA"/>
    <w:rsid w:val="7D3F5B50"/>
    <w:rsid w:val="7FBF3A3F"/>
    <w:rsid w:val="7FC077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Calibri" w:hAnsi="Calibri"/>
      <w:b/>
      <w:bCs/>
      <w:kern w:val="44"/>
      <w:sz w:val="44"/>
      <w:szCs w:val="44"/>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kern w:val="0"/>
      <w:sz w:val="18"/>
      <w:szCs w:val="18"/>
    </w:rPr>
  </w:style>
  <w:style w:type="paragraph" w:styleId="4">
    <w:name w:val="footer"/>
    <w:basedOn w:val="1"/>
    <w:link w:val="12"/>
    <w:unhideWhenUsed/>
    <w:qFormat/>
    <w:uiPriority w:val="99"/>
    <w:pPr>
      <w:tabs>
        <w:tab w:val="center" w:pos="4153"/>
        <w:tab w:val="right" w:pos="8306"/>
      </w:tabs>
      <w:snapToGrid w:val="0"/>
    </w:pPr>
    <w:rPr>
      <w:rFonts w:ascii="Calibri" w:hAnsi="Calibri"/>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unhideWhenUsed/>
    <w:qFormat/>
    <w:uiPriority w:val="99"/>
    <w:pPr>
      <w:spacing w:before="100" w:beforeAutospacing="1" w:after="100" w:afterAutospacing="1"/>
      <w:jc w:val="left"/>
    </w:pPr>
    <w:rPr>
      <w:rFonts w:ascii="Times New Roman" w:hAnsi="Times New Roman"/>
      <w:kern w:val="0"/>
      <w:sz w:val="24"/>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2"/>
    <w:qFormat/>
    <w:uiPriority w:val="9"/>
    <w:rPr>
      <w:b/>
      <w:bCs/>
      <w:kern w:val="44"/>
      <w:sz w:val="44"/>
      <w:szCs w:val="44"/>
    </w:rPr>
  </w:style>
  <w:style w:type="character" w:customStyle="1" w:styleId="11">
    <w:name w:val="页眉 Char"/>
    <w:link w:val="5"/>
    <w:qFormat/>
    <w:uiPriority w:val="99"/>
    <w:rPr>
      <w:sz w:val="18"/>
      <w:szCs w:val="18"/>
    </w:rPr>
  </w:style>
  <w:style w:type="character" w:customStyle="1" w:styleId="12">
    <w:name w:val="页脚 Char"/>
    <w:link w:val="4"/>
    <w:qFormat/>
    <w:uiPriority w:val="99"/>
    <w:rPr>
      <w:sz w:val="18"/>
      <w:szCs w:val="18"/>
    </w:rPr>
  </w:style>
  <w:style w:type="character" w:customStyle="1" w:styleId="13">
    <w:name w:val="批注框文本 Char"/>
    <w:link w:val="3"/>
    <w:qFormat/>
    <w:uiPriority w:val="99"/>
    <w:rPr>
      <w:rFonts w:ascii="Times New Roman" w:hAnsi="Times New Roman"/>
      <w:sz w:val="18"/>
      <w:szCs w:val="18"/>
    </w:rPr>
  </w:style>
  <w:style w:type="character" w:customStyle="1" w:styleId="14">
    <w:name w:val="font11"/>
    <w:basedOn w:val="9"/>
    <w:qFormat/>
    <w:uiPriority w:val="0"/>
    <w:rPr>
      <w:rFonts w:hint="eastAsia" w:ascii="宋体" w:hAnsi="宋体" w:eastAsia="宋体" w:cs="宋体"/>
      <w:color w:val="000000"/>
      <w:sz w:val="18"/>
      <w:szCs w:val="18"/>
      <w:u w:val="none"/>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F9C10-FE39-4A1E-BD31-96619562073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1317</Words>
  <Characters>7512</Characters>
  <Lines>62</Lines>
  <Paragraphs>17</Paragraphs>
  <TotalTime>7</TotalTime>
  <ScaleCrop>false</ScaleCrop>
  <LinksUpToDate>false</LinksUpToDate>
  <CharactersWithSpaces>8812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2020-09-25T04:11:00Z</dcterms:created>
  <dc:creator>刘佩珺</dc:creator>
  <cp:lastModifiedBy>汤凌钦</cp:lastModifiedBy>
  <cp:lastPrinted>2022-04-26T08:29:00Z</cp:lastPrinted>
  <dcterms:modified xsi:type="dcterms:W3CDTF">2022-07-13T04:27:00Z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